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FEDA0" w14:textId="6753918C" w:rsidR="00FC53AB" w:rsidRPr="00DA5F40" w:rsidRDefault="00FC53AB" w:rsidP="000B3B5B">
      <w:pPr>
        <w:rPr>
          <w:b/>
          <w:sz w:val="22"/>
          <w:szCs w:val="22"/>
        </w:rPr>
      </w:pPr>
      <w:r w:rsidRPr="00DA5F40">
        <w:rPr>
          <w:b/>
          <w:sz w:val="22"/>
          <w:szCs w:val="22"/>
        </w:rPr>
        <w:t>Juryrapport VOR praktijkprijs 2013</w:t>
      </w:r>
      <w:r w:rsidR="009633EC" w:rsidRPr="00DA5F40">
        <w:rPr>
          <w:b/>
          <w:sz w:val="22"/>
          <w:szCs w:val="22"/>
        </w:rPr>
        <w:t xml:space="preserve">, voorgelezen door </w:t>
      </w:r>
      <w:proofErr w:type="spellStart"/>
      <w:r w:rsidR="009633EC" w:rsidRPr="00DA5F40">
        <w:rPr>
          <w:b/>
          <w:sz w:val="22"/>
          <w:szCs w:val="22"/>
        </w:rPr>
        <w:t>prof.dr</w:t>
      </w:r>
      <w:proofErr w:type="spellEnd"/>
      <w:r w:rsidR="009633EC" w:rsidRPr="00DA5F40">
        <w:rPr>
          <w:b/>
          <w:sz w:val="22"/>
          <w:szCs w:val="22"/>
        </w:rPr>
        <w:t xml:space="preserve">. Theo </w:t>
      </w:r>
      <w:proofErr w:type="spellStart"/>
      <w:r w:rsidR="009633EC" w:rsidRPr="00DA5F40">
        <w:rPr>
          <w:b/>
          <w:sz w:val="22"/>
          <w:szCs w:val="22"/>
        </w:rPr>
        <w:t>Wubbels</w:t>
      </w:r>
      <w:proofErr w:type="spellEnd"/>
      <w:r w:rsidR="009633EC" w:rsidRPr="00DA5F40">
        <w:rPr>
          <w:b/>
          <w:sz w:val="22"/>
          <w:szCs w:val="22"/>
        </w:rPr>
        <w:t>, voorzitter van de jury</w:t>
      </w:r>
      <w:r w:rsidR="00BF029D">
        <w:rPr>
          <w:b/>
          <w:sz w:val="22"/>
          <w:szCs w:val="22"/>
        </w:rPr>
        <w:t xml:space="preserve"> en voorzitter van de Vereniging voor Onderwijs Research (VOR)</w:t>
      </w:r>
      <w:bookmarkStart w:id="0" w:name="_GoBack"/>
      <w:bookmarkEnd w:id="0"/>
    </w:p>
    <w:p w14:paraId="3A4BD0B7" w14:textId="77777777" w:rsidR="00FC53AB" w:rsidRDefault="00FC53AB" w:rsidP="000B3B5B">
      <w:pPr>
        <w:rPr>
          <w:sz w:val="22"/>
          <w:szCs w:val="22"/>
        </w:rPr>
      </w:pPr>
    </w:p>
    <w:p w14:paraId="0992E229" w14:textId="77777777" w:rsidR="000B3B5B" w:rsidRPr="00DD0D04" w:rsidRDefault="00FC53AB" w:rsidP="000B3B5B">
      <w:pPr>
        <w:rPr>
          <w:sz w:val="22"/>
          <w:szCs w:val="22"/>
        </w:rPr>
      </w:pPr>
      <w:r>
        <w:rPr>
          <w:sz w:val="22"/>
          <w:szCs w:val="22"/>
        </w:rPr>
        <w:t xml:space="preserve">2013 is het eerste jaar dat de VOR-praktijkprijs wordt uitgereikt. Met de dissertatie-,  PS- en begeleidersprijs is daarmee het gehele pakket wel compleet. </w:t>
      </w:r>
      <w:r w:rsidR="000B3B5B" w:rsidRPr="00DD0D04">
        <w:rPr>
          <w:sz w:val="22"/>
          <w:szCs w:val="22"/>
        </w:rPr>
        <w:t xml:space="preserve">Met deze </w:t>
      </w:r>
      <w:r w:rsidR="000B3B5B">
        <w:rPr>
          <w:sz w:val="22"/>
          <w:szCs w:val="22"/>
        </w:rPr>
        <w:t xml:space="preserve">tweejaarlijkse </w:t>
      </w:r>
      <w:r w:rsidR="000B3B5B" w:rsidRPr="00DD0D04">
        <w:rPr>
          <w:sz w:val="22"/>
          <w:szCs w:val="22"/>
        </w:rPr>
        <w:t>prijs wil de VOR personen</w:t>
      </w:r>
      <w:r w:rsidR="000B3B5B">
        <w:rPr>
          <w:sz w:val="22"/>
          <w:szCs w:val="22"/>
        </w:rPr>
        <w:t xml:space="preserve">, groepen of instellingen </w:t>
      </w:r>
      <w:r w:rsidR="000B3B5B" w:rsidRPr="00DD0D04">
        <w:rPr>
          <w:sz w:val="22"/>
          <w:szCs w:val="22"/>
        </w:rPr>
        <w:t xml:space="preserve">belonen die door </w:t>
      </w:r>
      <w:r w:rsidR="000B3B5B">
        <w:rPr>
          <w:sz w:val="22"/>
          <w:szCs w:val="22"/>
        </w:rPr>
        <w:t xml:space="preserve">hun wetenschappelijk werk een herkenbare bijdrage hebben geleverd aan activiteiten van practici ter verbetering van de kwaliteit van het onderwijs in Nederland. Daartoe wordt  de prijs toegekend voor de </w:t>
      </w:r>
      <w:r w:rsidR="000B3B5B" w:rsidRPr="00DD0D04">
        <w:rPr>
          <w:sz w:val="22"/>
          <w:szCs w:val="22"/>
        </w:rPr>
        <w:t>publicatie van een wetenschappelijk verantwoord Nederlandstalig boek</w:t>
      </w:r>
      <w:r w:rsidR="000B3B5B">
        <w:rPr>
          <w:sz w:val="22"/>
          <w:szCs w:val="22"/>
        </w:rPr>
        <w:t>,</w:t>
      </w:r>
      <w:r w:rsidR="000B3B5B" w:rsidRPr="00DD0D04">
        <w:rPr>
          <w:sz w:val="22"/>
          <w:szCs w:val="22"/>
        </w:rPr>
        <w:t xml:space="preserve"> rapport</w:t>
      </w:r>
      <w:r w:rsidR="000B3B5B">
        <w:rPr>
          <w:sz w:val="22"/>
          <w:szCs w:val="22"/>
        </w:rPr>
        <w:t xml:space="preserve">, of digitaal, of multimediale product dat van groot belang is voor de verbetering van het onderwijs. </w:t>
      </w:r>
    </w:p>
    <w:p w14:paraId="62FB0507" w14:textId="77777777" w:rsidR="000B3B5B" w:rsidRPr="00DD0D04" w:rsidRDefault="000B3B5B" w:rsidP="000B3B5B">
      <w:pPr>
        <w:rPr>
          <w:sz w:val="22"/>
          <w:szCs w:val="22"/>
        </w:rPr>
      </w:pPr>
    </w:p>
    <w:p w14:paraId="52FCB7FB" w14:textId="77777777" w:rsidR="000B3B5B" w:rsidRPr="00FC53AB" w:rsidRDefault="000B3B5B" w:rsidP="000B3B5B">
      <w:pPr>
        <w:rPr>
          <w:sz w:val="22"/>
          <w:szCs w:val="22"/>
        </w:rPr>
      </w:pPr>
      <w:r w:rsidRPr="00FC53AB">
        <w:rPr>
          <w:sz w:val="22"/>
          <w:szCs w:val="22"/>
        </w:rPr>
        <w:t>Criteria voor toekenning</w:t>
      </w:r>
      <w:r w:rsidR="00FC53AB" w:rsidRPr="00FC53AB">
        <w:rPr>
          <w:sz w:val="22"/>
          <w:szCs w:val="22"/>
        </w:rPr>
        <w:t xml:space="preserve"> zijn</w:t>
      </w:r>
    </w:p>
    <w:p w14:paraId="442AFB3D" w14:textId="77777777" w:rsidR="000B3B5B" w:rsidRPr="00BB73BA" w:rsidRDefault="000B3B5B" w:rsidP="000B3B5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BB73BA">
        <w:rPr>
          <w:sz w:val="22"/>
          <w:szCs w:val="22"/>
        </w:rPr>
        <w:t>Wetenschappelijk kwaliteit</w:t>
      </w:r>
    </w:p>
    <w:p w14:paraId="3FF531F2" w14:textId="77777777" w:rsidR="000B3B5B" w:rsidRPr="00BB73BA" w:rsidRDefault="000B3B5B" w:rsidP="000B3B5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BB73BA">
        <w:rPr>
          <w:sz w:val="22"/>
          <w:szCs w:val="22"/>
        </w:rPr>
        <w:t>De relevantie van het onderzoek voor de vragen en problemen waarmee onderwijsprofessionals (op alle niveaus) zich in de praktijk geconfronteerd zien</w:t>
      </w:r>
    </w:p>
    <w:p w14:paraId="3C89E223" w14:textId="77777777" w:rsidR="000B3B5B" w:rsidRPr="00120F3A" w:rsidRDefault="000B3B5B" w:rsidP="000B3B5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BB73BA">
        <w:rPr>
          <w:sz w:val="22"/>
          <w:szCs w:val="22"/>
        </w:rPr>
        <w:t xml:space="preserve">Reikwijdte van de invloed van </w:t>
      </w:r>
      <w:r>
        <w:rPr>
          <w:sz w:val="22"/>
          <w:szCs w:val="22"/>
        </w:rPr>
        <w:t xml:space="preserve">het product als </w:t>
      </w:r>
      <w:r w:rsidRPr="00014B65">
        <w:rPr>
          <w:sz w:val="22"/>
          <w:szCs w:val="22"/>
        </w:rPr>
        <w:t xml:space="preserve">bron voor </w:t>
      </w:r>
      <w:r>
        <w:rPr>
          <w:sz w:val="22"/>
          <w:szCs w:val="22"/>
        </w:rPr>
        <w:t>de onderwijspraktijk</w:t>
      </w:r>
    </w:p>
    <w:p w14:paraId="10B52EA9" w14:textId="77777777" w:rsidR="000B3B5B" w:rsidRDefault="000B3B5B" w:rsidP="000B3B5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C795451" w14:textId="77777777" w:rsidR="00C34414" w:rsidRDefault="00FC53AB" w:rsidP="008632E1">
      <w:pPr>
        <w:rPr>
          <w:sz w:val="22"/>
          <w:szCs w:val="22"/>
        </w:rPr>
      </w:pPr>
      <w:r w:rsidRPr="008632E1">
        <w:rPr>
          <w:sz w:val="22"/>
          <w:szCs w:val="22"/>
        </w:rPr>
        <w:t>De o</w:t>
      </w:r>
      <w:r w:rsidR="000B3B5B" w:rsidRPr="008632E1">
        <w:rPr>
          <w:sz w:val="22"/>
          <w:szCs w:val="22"/>
        </w:rPr>
        <w:t xml:space="preserve">proep </w:t>
      </w:r>
      <w:r w:rsidRPr="008632E1">
        <w:rPr>
          <w:sz w:val="22"/>
          <w:szCs w:val="22"/>
        </w:rPr>
        <w:t>voor inzendingen voor deze prijs is gedaan aan alle VOR-leden, uit</w:t>
      </w:r>
      <w:r w:rsidR="00C34414">
        <w:rPr>
          <w:sz w:val="22"/>
          <w:szCs w:val="22"/>
        </w:rPr>
        <w:t>gevers, en educatieve instellin</w:t>
      </w:r>
      <w:r w:rsidRPr="008632E1">
        <w:rPr>
          <w:sz w:val="22"/>
          <w:szCs w:val="22"/>
        </w:rPr>
        <w:t>g</w:t>
      </w:r>
      <w:r w:rsidR="00C34414">
        <w:rPr>
          <w:sz w:val="22"/>
          <w:szCs w:val="22"/>
        </w:rPr>
        <w:t>e</w:t>
      </w:r>
      <w:r w:rsidRPr="008632E1">
        <w:rPr>
          <w:sz w:val="22"/>
          <w:szCs w:val="22"/>
        </w:rPr>
        <w:t xml:space="preserve">n en </w:t>
      </w:r>
      <w:r w:rsidR="000B3B5B" w:rsidRPr="008632E1">
        <w:rPr>
          <w:sz w:val="22"/>
          <w:szCs w:val="22"/>
        </w:rPr>
        <w:t>heeft gele</w:t>
      </w:r>
      <w:r w:rsidRPr="008632E1">
        <w:rPr>
          <w:sz w:val="22"/>
          <w:szCs w:val="22"/>
        </w:rPr>
        <w:t xml:space="preserve">id tot 23 </w:t>
      </w:r>
      <w:r w:rsidR="00C34414">
        <w:rPr>
          <w:sz w:val="22"/>
          <w:szCs w:val="22"/>
        </w:rPr>
        <w:t>inzendingen.</w:t>
      </w:r>
      <w:r w:rsidRPr="008632E1">
        <w:rPr>
          <w:sz w:val="22"/>
          <w:szCs w:val="22"/>
        </w:rPr>
        <w:t xml:space="preserve"> </w:t>
      </w:r>
    </w:p>
    <w:p w14:paraId="11CBC9FC" w14:textId="1A9BA6E2" w:rsidR="003D1741" w:rsidRDefault="00FC53AB" w:rsidP="008632E1">
      <w:pPr>
        <w:rPr>
          <w:sz w:val="22"/>
          <w:szCs w:val="22"/>
        </w:rPr>
      </w:pPr>
      <w:r w:rsidRPr="008632E1">
        <w:rPr>
          <w:sz w:val="22"/>
          <w:szCs w:val="22"/>
        </w:rPr>
        <w:t>De jury be</w:t>
      </w:r>
      <w:r w:rsidR="000B3B5B" w:rsidRPr="008632E1">
        <w:rPr>
          <w:sz w:val="22"/>
          <w:szCs w:val="22"/>
        </w:rPr>
        <w:t>s</w:t>
      </w:r>
      <w:r w:rsidRPr="008632E1">
        <w:rPr>
          <w:sz w:val="22"/>
          <w:szCs w:val="22"/>
        </w:rPr>
        <w:t xml:space="preserve">tond uit </w:t>
      </w:r>
      <w:proofErr w:type="spellStart"/>
      <w:r w:rsidRPr="008632E1">
        <w:rPr>
          <w:sz w:val="22"/>
          <w:szCs w:val="22"/>
        </w:rPr>
        <w:t>Jo</w:t>
      </w:r>
      <w:r w:rsidR="000B3B5B" w:rsidRPr="008632E1">
        <w:rPr>
          <w:sz w:val="22"/>
          <w:szCs w:val="22"/>
        </w:rPr>
        <w:t>nne</w:t>
      </w:r>
      <w:proofErr w:type="spellEnd"/>
      <w:r w:rsidR="000B3B5B" w:rsidRPr="008632E1">
        <w:rPr>
          <w:sz w:val="22"/>
          <w:szCs w:val="22"/>
        </w:rPr>
        <w:t xml:space="preserve"> </w:t>
      </w:r>
      <w:proofErr w:type="spellStart"/>
      <w:r w:rsidR="000B3B5B" w:rsidRPr="008632E1">
        <w:rPr>
          <w:sz w:val="22"/>
          <w:szCs w:val="22"/>
        </w:rPr>
        <w:t>Gaemers</w:t>
      </w:r>
      <w:proofErr w:type="spellEnd"/>
      <w:r w:rsidR="000B3B5B" w:rsidRPr="008632E1">
        <w:rPr>
          <w:sz w:val="22"/>
          <w:szCs w:val="22"/>
        </w:rPr>
        <w:t>, Renate</w:t>
      </w:r>
      <w:r w:rsidRPr="008632E1">
        <w:rPr>
          <w:sz w:val="22"/>
          <w:szCs w:val="22"/>
        </w:rPr>
        <w:t xml:space="preserve"> Wesselink, Marjan Ve</w:t>
      </w:r>
      <w:r w:rsidR="000B3B5B" w:rsidRPr="008632E1">
        <w:rPr>
          <w:sz w:val="22"/>
          <w:szCs w:val="22"/>
        </w:rPr>
        <w:t>r</w:t>
      </w:r>
      <w:r w:rsidRPr="008632E1">
        <w:rPr>
          <w:sz w:val="22"/>
          <w:szCs w:val="22"/>
        </w:rPr>
        <w:t>meu</w:t>
      </w:r>
      <w:r w:rsidR="000B3B5B" w:rsidRPr="008632E1">
        <w:rPr>
          <w:sz w:val="22"/>
          <w:szCs w:val="22"/>
        </w:rPr>
        <w:t>l</w:t>
      </w:r>
      <w:r w:rsidRPr="008632E1">
        <w:rPr>
          <w:sz w:val="22"/>
          <w:szCs w:val="22"/>
        </w:rPr>
        <w:t>en,</w:t>
      </w:r>
      <w:r w:rsidR="00C34414">
        <w:rPr>
          <w:sz w:val="22"/>
          <w:szCs w:val="22"/>
        </w:rPr>
        <w:t xml:space="preserve"> Nienke </w:t>
      </w:r>
      <w:proofErr w:type="spellStart"/>
      <w:r w:rsidR="00C34414">
        <w:rPr>
          <w:sz w:val="22"/>
          <w:szCs w:val="22"/>
        </w:rPr>
        <w:t>Nieveen</w:t>
      </w:r>
      <w:proofErr w:type="spellEnd"/>
      <w:r w:rsidR="00C34414">
        <w:rPr>
          <w:sz w:val="22"/>
          <w:szCs w:val="22"/>
        </w:rPr>
        <w:t>,</w:t>
      </w:r>
      <w:r w:rsidRPr="008632E1">
        <w:rPr>
          <w:sz w:val="22"/>
          <w:szCs w:val="22"/>
        </w:rPr>
        <w:t xml:space="preserve"> Perry den Brok en mijz</w:t>
      </w:r>
      <w:r w:rsidR="000B3B5B" w:rsidRPr="008632E1">
        <w:rPr>
          <w:sz w:val="22"/>
          <w:szCs w:val="22"/>
        </w:rPr>
        <w:t>e</w:t>
      </w:r>
      <w:r w:rsidRPr="008632E1">
        <w:rPr>
          <w:sz w:val="22"/>
          <w:szCs w:val="22"/>
        </w:rPr>
        <w:t>l</w:t>
      </w:r>
      <w:r w:rsidR="000B3B5B" w:rsidRPr="008632E1">
        <w:rPr>
          <w:sz w:val="22"/>
          <w:szCs w:val="22"/>
        </w:rPr>
        <w:t>f</w:t>
      </w:r>
      <w:r w:rsidR="009633EC">
        <w:rPr>
          <w:sz w:val="22"/>
          <w:szCs w:val="22"/>
        </w:rPr>
        <w:t xml:space="preserve"> (=Theo </w:t>
      </w:r>
      <w:proofErr w:type="spellStart"/>
      <w:r w:rsidR="009633EC">
        <w:rPr>
          <w:sz w:val="22"/>
          <w:szCs w:val="22"/>
        </w:rPr>
        <w:t>Wubbels</w:t>
      </w:r>
      <w:proofErr w:type="spellEnd"/>
      <w:r w:rsidR="009633EC">
        <w:rPr>
          <w:sz w:val="22"/>
          <w:szCs w:val="22"/>
        </w:rPr>
        <w:t>)</w:t>
      </w:r>
      <w:r w:rsidR="000B3B5B" w:rsidRPr="008632E1">
        <w:rPr>
          <w:sz w:val="22"/>
          <w:szCs w:val="22"/>
        </w:rPr>
        <w:t xml:space="preserve"> </w:t>
      </w:r>
      <w:r w:rsidRPr="008632E1">
        <w:rPr>
          <w:sz w:val="22"/>
          <w:szCs w:val="22"/>
        </w:rPr>
        <w:t>en was s</w:t>
      </w:r>
      <w:r w:rsidR="000B3B5B" w:rsidRPr="008632E1">
        <w:rPr>
          <w:sz w:val="22"/>
          <w:szCs w:val="22"/>
        </w:rPr>
        <w:t>am</w:t>
      </w:r>
      <w:r w:rsidRPr="008632E1">
        <w:rPr>
          <w:sz w:val="22"/>
          <w:szCs w:val="22"/>
        </w:rPr>
        <w:t>e</w:t>
      </w:r>
      <w:r w:rsidR="000B3B5B" w:rsidRPr="008632E1">
        <w:rPr>
          <w:sz w:val="22"/>
          <w:szCs w:val="22"/>
        </w:rPr>
        <w:t>n</w:t>
      </w:r>
      <w:r w:rsidRPr="008632E1">
        <w:rPr>
          <w:sz w:val="22"/>
          <w:szCs w:val="22"/>
        </w:rPr>
        <w:t>ge</w:t>
      </w:r>
      <w:r w:rsidR="000B3B5B" w:rsidRPr="008632E1">
        <w:rPr>
          <w:sz w:val="22"/>
          <w:szCs w:val="22"/>
        </w:rPr>
        <w:t>stel</w:t>
      </w:r>
      <w:r w:rsidRPr="008632E1">
        <w:rPr>
          <w:sz w:val="22"/>
          <w:szCs w:val="22"/>
        </w:rPr>
        <w:t>d als een mix van kennis van fundam</w:t>
      </w:r>
      <w:r w:rsidR="000B3B5B" w:rsidRPr="008632E1">
        <w:rPr>
          <w:sz w:val="22"/>
          <w:szCs w:val="22"/>
        </w:rPr>
        <w:t>e</w:t>
      </w:r>
      <w:r w:rsidRPr="008632E1">
        <w:rPr>
          <w:sz w:val="22"/>
          <w:szCs w:val="22"/>
        </w:rPr>
        <w:t>n</w:t>
      </w:r>
      <w:r w:rsidR="000B3B5B" w:rsidRPr="008632E1">
        <w:rPr>
          <w:sz w:val="22"/>
          <w:szCs w:val="22"/>
        </w:rPr>
        <w:t xml:space="preserve">teel </w:t>
      </w:r>
      <w:r w:rsidRPr="008632E1">
        <w:rPr>
          <w:sz w:val="22"/>
          <w:szCs w:val="22"/>
        </w:rPr>
        <w:t>en prakt</w:t>
      </w:r>
      <w:r w:rsidR="00C34414">
        <w:rPr>
          <w:sz w:val="22"/>
          <w:szCs w:val="22"/>
        </w:rPr>
        <w:t>i</w:t>
      </w:r>
      <w:r w:rsidRPr="008632E1">
        <w:rPr>
          <w:sz w:val="22"/>
          <w:szCs w:val="22"/>
        </w:rPr>
        <w:t>jkger</w:t>
      </w:r>
      <w:r w:rsidR="000B3B5B" w:rsidRPr="008632E1">
        <w:rPr>
          <w:sz w:val="22"/>
          <w:szCs w:val="22"/>
        </w:rPr>
        <w:t>i</w:t>
      </w:r>
      <w:r w:rsidRPr="008632E1">
        <w:rPr>
          <w:sz w:val="22"/>
          <w:szCs w:val="22"/>
        </w:rPr>
        <w:t>c</w:t>
      </w:r>
      <w:r w:rsidR="000B3B5B" w:rsidRPr="008632E1">
        <w:rPr>
          <w:sz w:val="22"/>
          <w:szCs w:val="22"/>
        </w:rPr>
        <w:t>ht</w:t>
      </w:r>
      <w:r w:rsidRPr="008632E1">
        <w:rPr>
          <w:sz w:val="22"/>
          <w:szCs w:val="22"/>
        </w:rPr>
        <w:t xml:space="preserve"> onderzoek, de praktijk en advieswereld. In de beoordelingen bleek dat die achtergron</w:t>
      </w:r>
      <w:r w:rsidR="000B3B5B" w:rsidRPr="008632E1">
        <w:rPr>
          <w:sz w:val="22"/>
          <w:szCs w:val="22"/>
        </w:rPr>
        <w:t xml:space="preserve">d niet </w:t>
      </w:r>
      <w:r w:rsidRPr="008632E1">
        <w:rPr>
          <w:sz w:val="22"/>
          <w:szCs w:val="22"/>
        </w:rPr>
        <w:t xml:space="preserve">tot </w:t>
      </w:r>
      <w:r w:rsidR="000B3B5B" w:rsidRPr="008632E1">
        <w:rPr>
          <w:sz w:val="22"/>
          <w:szCs w:val="22"/>
        </w:rPr>
        <w:t>erg ve</w:t>
      </w:r>
      <w:r w:rsidRPr="008632E1">
        <w:rPr>
          <w:sz w:val="22"/>
          <w:szCs w:val="22"/>
        </w:rPr>
        <w:t>rschillende o</w:t>
      </w:r>
      <w:r w:rsidR="000B3B5B" w:rsidRPr="008632E1">
        <w:rPr>
          <w:sz w:val="22"/>
          <w:szCs w:val="22"/>
        </w:rPr>
        <w:t>ord</w:t>
      </w:r>
      <w:r w:rsidRPr="008632E1">
        <w:rPr>
          <w:sz w:val="22"/>
          <w:szCs w:val="22"/>
        </w:rPr>
        <w:t>e</w:t>
      </w:r>
      <w:r w:rsidR="000B3B5B" w:rsidRPr="008632E1">
        <w:rPr>
          <w:sz w:val="22"/>
          <w:szCs w:val="22"/>
        </w:rPr>
        <w:t xml:space="preserve">len </w:t>
      </w:r>
      <w:r w:rsidRPr="008632E1">
        <w:rPr>
          <w:sz w:val="22"/>
          <w:szCs w:val="22"/>
        </w:rPr>
        <w:t xml:space="preserve">leidde al werden vooral over toegankelijk schrijven voor de onderzoekers wel behartigenswaardige opmerkingen gemaakt. </w:t>
      </w:r>
      <w:r w:rsidR="00892FA5">
        <w:rPr>
          <w:sz w:val="22"/>
          <w:szCs w:val="22"/>
        </w:rPr>
        <w:t>Wanneer er maar de geringste betrokkenheid van een jurylid was onthield deze zich van inbreng in de discussie.</w:t>
      </w:r>
    </w:p>
    <w:p w14:paraId="5210920D" w14:textId="77777777" w:rsidR="000B3B5B" w:rsidRPr="008632E1" w:rsidRDefault="00892FA5" w:rsidP="008632E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0BFDDD4" w14:textId="77777777" w:rsidR="000B3B5B" w:rsidRPr="008632E1" w:rsidRDefault="000B3B5B" w:rsidP="008632E1">
      <w:pPr>
        <w:rPr>
          <w:sz w:val="22"/>
          <w:szCs w:val="22"/>
        </w:rPr>
      </w:pPr>
      <w:r w:rsidRPr="008632E1">
        <w:rPr>
          <w:sz w:val="22"/>
          <w:szCs w:val="22"/>
        </w:rPr>
        <w:t>Op basi</w:t>
      </w:r>
      <w:r w:rsidR="00FC53AB" w:rsidRPr="008632E1">
        <w:rPr>
          <w:sz w:val="22"/>
          <w:szCs w:val="22"/>
        </w:rPr>
        <w:t>s</w:t>
      </w:r>
      <w:r w:rsidRPr="008632E1">
        <w:rPr>
          <w:sz w:val="22"/>
          <w:szCs w:val="22"/>
        </w:rPr>
        <w:t xml:space="preserve"> van overe</w:t>
      </w:r>
      <w:r w:rsidR="00FC53AB" w:rsidRPr="008632E1">
        <w:rPr>
          <w:sz w:val="22"/>
          <w:szCs w:val="22"/>
        </w:rPr>
        <w:t>enstemmin</w:t>
      </w:r>
      <w:r w:rsidRPr="008632E1">
        <w:rPr>
          <w:sz w:val="22"/>
          <w:szCs w:val="22"/>
        </w:rPr>
        <w:t xml:space="preserve">g tussen steeds twee leden van de jury zijn er 9 </w:t>
      </w:r>
      <w:r w:rsidR="00FC53AB" w:rsidRPr="008632E1">
        <w:rPr>
          <w:sz w:val="22"/>
          <w:szCs w:val="22"/>
        </w:rPr>
        <w:t>inzendingen op een shortlist gek</w:t>
      </w:r>
      <w:r w:rsidRPr="008632E1">
        <w:rPr>
          <w:sz w:val="22"/>
          <w:szCs w:val="22"/>
        </w:rPr>
        <w:t>o</w:t>
      </w:r>
      <w:r w:rsidR="00FC53AB" w:rsidRPr="008632E1">
        <w:rPr>
          <w:sz w:val="22"/>
          <w:szCs w:val="22"/>
        </w:rPr>
        <w:t>m</w:t>
      </w:r>
      <w:r w:rsidRPr="008632E1">
        <w:rPr>
          <w:sz w:val="22"/>
          <w:szCs w:val="22"/>
        </w:rPr>
        <w:t>en en deze zijn door alle juryleden beoordeel</w:t>
      </w:r>
      <w:r w:rsidR="00FC53AB" w:rsidRPr="008632E1">
        <w:rPr>
          <w:sz w:val="22"/>
          <w:szCs w:val="22"/>
        </w:rPr>
        <w:t>d. Da</w:t>
      </w:r>
      <w:r w:rsidRPr="008632E1">
        <w:rPr>
          <w:sz w:val="22"/>
          <w:szCs w:val="22"/>
        </w:rPr>
        <w:t>a</w:t>
      </w:r>
      <w:r w:rsidR="00FC53AB" w:rsidRPr="008632E1">
        <w:rPr>
          <w:sz w:val="22"/>
          <w:szCs w:val="22"/>
        </w:rPr>
        <w:t>r</w:t>
      </w:r>
      <w:r w:rsidRPr="008632E1">
        <w:rPr>
          <w:sz w:val="22"/>
          <w:szCs w:val="22"/>
        </w:rPr>
        <w:t xml:space="preserve">uit zijn er </w:t>
      </w:r>
      <w:r w:rsidR="008632E1" w:rsidRPr="008632E1">
        <w:rPr>
          <w:sz w:val="22"/>
          <w:szCs w:val="22"/>
        </w:rPr>
        <w:t xml:space="preserve">na relatief weinig discussie </w:t>
      </w:r>
      <w:r w:rsidRPr="008632E1">
        <w:rPr>
          <w:sz w:val="22"/>
          <w:szCs w:val="22"/>
        </w:rPr>
        <w:t xml:space="preserve">vier gekozen die wij als genomineerd </w:t>
      </w:r>
      <w:r w:rsidR="00FC53AB" w:rsidRPr="008632E1">
        <w:rPr>
          <w:sz w:val="22"/>
          <w:szCs w:val="22"/>
        </w:rPr>
        <w:t>presenteren.</w:t>
      </w:r>
    </w:p>
    <w:p w14:paraId="3BADF771" w14:textId="77777777" w:rsidR="000B3B5B" w:rsidRDefault="000B3B5B" w:rsidP="000B3B5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tbl>
      <w:tblPr>
        <w:tblStyle w:val="Tabelraster"/>
        <w:tblW w:w="9584" w:type="dxa"/>
        <w:tblLayout w:type="fixed"/>
        <w:tblLook w:val="04A0" w:firstRow="1" w:lastRow="0" w:firstColumn="1" w:lastColumn="0" w:noHBand="0" w:noVBand="1"/>
      </w:tblPr>
      <w:tblGrid>
        <w:gridCol w:w="3334"/>
        <w:gridCol w:w="6250"/>
      </w:tblGrid>
      <w:tr w:rsidR="000B3B5B" w:rsidRPr="00646BFA" w14:paraId="6938050D" w14:textId="77777777" w:rsidTr="000B3B5B">
        <w:tc>
          <w:tcPr>
            <w:tcW w:w="3334" w:type="dxa"/>
          </w:tcPr>
          <w:p w14:paraId="1BFA7355" w14:textId="77777777" w:rsidR="000B3B5B" w:rsidRPr="00646BFA" w:rsidRDefault="008632E1" w:rsidP="000B3B5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Redactie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B3B5B" w:rsidRPr="00646BFA">
              <w:rPr>
                <w:rFonts w:ascii="Verdana" w:hAnsi="Verdana"/>
                <w:sz w:val="18"/>
                <w:szCs w:val="18"/>
              </w:rPr>
              <w:t>Didactief</w:t>
            </w:r>
            <w:proofErr w:type="spellEnd"/>
          </w:p>
        </w:tc>
        <w:tc>
          <w:tcPr>
            <w:tcW w:w="6250" w:type="dxa"/>
          </w:tcPr>
          <w:p w14:paraId="72275014" w14:textId="77777777" w:rsidR="000B3B5B" w:rsidRPr="00646BFA" w:rsidRDefault="000B3B5B" w:rsidP="000B3B5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 w:rsidRPr="00646BFA">
              <w:rPr>
                <w:rFonts w:ascii="Verdana" w:hAnsi="Verdana"/>
                <w:sz w:val="18"/>
                <w:szCs w:val="18"/>
              </w:rPr>
              <w:t>maandblad</w:t>
            </w:r>
            <w:proofErr w:type="spellEnd"/>
            <w:proofErr w:type="gramEnd"/>
          </w:p>
        </w:tc>
      </w:tr>
      <w:tr w:rsidR="000B3B5B" w:rsidRPr="00646BFA" w14:paraId="45D3BCC2" w14:textId="77777777" w:rsidTr="000B3B5B">
        <w:tc>
          <w:tcPr>
            <w:tcW w:w="3334" w:type="dxa"/>
          </w:tcPr>
          <w:p w14:paraId="2526B23E" w14:textId="77777777" w:rsidR="000B3B5B" w:rsidRPr="00646BFA" w:rsidRDefault="000B3B5B" w:rsidP="000B3B5B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46BFA">
              <w:rPr>
                <w:rFonts w:ascii="Verdana" w:hAnsi="Verdana"/>
                <w:sz w:val="18"/>
                <w:szCs w:val="18"/>
              </w:rPr>
              <w:t>prof</w:t>
            </w:r>
            <w:proofErr w:type="gramEnd"/>
            <w:r w:rsidRPr="00646BFA">
              <w:rPr>
                <w:rFonts w:ascii="Verdana" w:hAnsi="Verdana"/>
                <w:sz w:val="18"/>
                <w:szCs w:val="18"/>
              </w:rPr>
              <w:t xml:space="preserve">. dr. Geert ten Dam, dr. </w:t>
            </w:r>
            <w:proofErr w:type="spellStart"/>
            <w:r w:rsidRPr="00646BFA">
              <w:rPr>
                <w:rFonts w:ascii="Verdana" w:hAnsi="Verdana"/>
                <w:sz w:val="18"/>
                <w:szCs w:val="18"/>
              </w:rPr>
              <w:t>Femke</w:t>
            </w:r>
            <w:proofErr w:type="spellEnd"/>
            <w:r w:rsidRPr="00646BF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46BFA">
              <w:rPr>
                <w:rFonts w:ascii="Verdana" w:hAnsi="Verdana"/>
                <w:sz w:val="18"/>
                <w:szCs w:val="18"/>
              </w:rPr>
              <w:t>Geijsel</w:t>
            </w:r>
            <w:proofErr w:type="spellEnd"/>
            <w:r w:rsidRPr="00646BFA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646BFA">
              <w:rPr>
                <w:rFonts w:ascii="Verdana" w:hAnsi="Verdana"/>
                <w:sz w:val="18"/>
                <w:szCs w:val="18"/>
              </w:rPr>
              <w:t>drs</w:t>
            </w:r>
            <w:proofErr w:type="spellEnd"/>
            <w:r w:rsidRPr="00646BF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46BFA">
              <w:rPr>
                <w:rFonts w:ascii="Verdana" w:hAnsi="Verdana"/>
                <w:sz w:val="18"/>
                <w:szCs w:val="18"/>
              </w:rPr>
              <w:t>Guuske</w:t>
            </w:r>
            <w:proofErr w:type="spellEnd"/>
            <w:r w:rsidRPr="00646BF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46BFA">
              <w:rPr>
                <w:rFonts w:ascii="Verdana" w:hAnsi="Verdana"/>
                <w:sz w:val="18"/>
                <w:szCs w:val="18"/>
              </w:rPr>
              <w:t>Ledoux</w:t>
            </w:r>
            <w:proofErr w:type="spellEnd"/>
            <w:r w:rsidRPr="00646BFA">
              <w:rPr>
                <w:rFonts w:ascii="Verdana" w:hAnsi="Verdana"/>
                <w:sz w:val="18"/>
                <w:szCs w:val="18"/>
              </w:rPr>
              <w:t xml:space="preserve"> en </w:t>
            </w:r>
            <w:proofErr w:type="spellStart"/>
            <w:r w:rsidRPr="00646BFA">
              <w:rPr>
                <w:rFonts w:ascii="Verdana" w:hAnsi="Verdana"/>
                <w:sz w:val="18"/>
                <w:szCs w:val="18"/>
              </w:rPr>
              <w:t>dr</w:t>
            </w:r>
            <w:proofErr w:type="spellEnd"/>
            <w:r w:rsidRPr="00646BFA">
              <w:rPr>
                <w:rFonts w:ascii="Verdana" w:hAnsi="Verdana"/>
                <w:sz w:val="18"/>
                <w:szCs w:val="18"/>
              </w:rPr>
              <w:t xml:space="preserve"> Rene </w:t>
            </w:r>
            <w:proofErr w:type="spellStart"/>
            <w:r w:rsidRPr="00646BFA">
              <w:rPr>
                <w:rFonts w:ascii="Verdana" w:hAnsi="Verdana"/>
                <w:sz w:val="18"/>
                <w:szCs w:val="18"/>
              </w:rPr>
              <w:t>Reumerman</w:t>
            </w:r>
            <w:proofErr w:type="spellEnd"/>
          </w:p>
        </w:tc>
        <w:tc>
          <w:tcPr>
            <w:tcW w:w="6250" w:type="dxa"/>
          </w:tcPr>
          <w:p w14:paraId="5890CB4A" w14:textId="77777777" w:rsidR="000B3B5B" w:rsidRPr="00646BFA" w:rsidRDefault="000B3B5B" w:rsidP="000B3B5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46BFA">
              <w:rPr>
                <w:rFonts w:ascii="Verdana" w:hAnsi="Verdana"/>
                <w:sz w:val="18"/>
                <w:szCs w:val="18"/>
              </w:rPr>
              <w:t>Internetapplicatie</w:t>
            </w:r>
            <w:proofErr w:type="spellEnd"/>
            <w:r w:rsidRPr="00646BF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46BFA">
              <w:rPr>
                <w:rFonts w:ascii="Verdana" w:hAnsi="Verdana"/>
                <w:sz w:val="18"/>
                <w:szCs w:val="18"/>
              </w:rPr>
              <w:t>Burgerschap</w:t>
            </w:r>
            <w:proofErr w:type="spellEnd"/>
            <w:r w:rsidRPr="00646BF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46BFA">
              <w:rPr>
                <w:rFonts w:ascii="Verdana" w:hAnsi="Verdana"/>
                <w:sz w:val="18"/>
                <w:szCs w:val="18"/>
              </w:rPr>
              <w:t>Meten</w:t>
            </w:r>
            <w:proofErr w:type="spellEnd"/>
          </w:p>
        </w:tc>
      </w:tr>
      <w:tr w:rsidR="000B3B5B" w:rsidRPr="006974C6" w14:paraId="53F1B57E" w14:textId="77777777" w:rsidTr="000B3B5B">
        <w:tc>
          <w:tcPr>
            <w:tcW w:w="3334" w:type="dxa"/>
          </w:tcPr>
          <w:p w14:paraId="66FD4760" w14:textId="77777777" w:rsidR="000B3B5B" w:rsidRPr="006974C6" w:rsidRDefault="000B3B5B" w:rsidP="000B3B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Ton de Jong</w:t>
            </w:r>
          </w:p>
        </w:tc>
        <w:tc>
          <w:tcPr>
            <w:tcW w:w="6250" w:type="dxa"/>
          </w:tcPr>
          <w:p w14:paraId="1DA8131B" w14:textId="77777777" w:rsidR="000B3B5B" w:rsidRPr="006974C6" w:rsidRDefault="000B3B5B" w:rsidP="000B3B5B">
            <w:pPr>
              <w:rPr>
                <w:rFonts w:ascii="Verdana" w:hAnsi="Verdana"/>
                <w:sz w:val="18"/>
                <w:szCs w:val="18"/>
              </w:rPr>
            </w:pPr>
            <w:r w:rsidRPr="006974C6">
              <w:rPr>
                <w:rFonts w:ascii="Verdana" w:hAnsi="Verdana"/>
                <w:sz w:val="18"/>
                <w:szCs w:val="18"/>
              </w:rPr>
              <w:t>ZAP software</w:t>
            </w:r>
          </w:p>
        </w:tc>
      </w:tr>
      <w:tr w:rsidR="000B3B5B" w:rsidRPr="006974C6" w14:paraId="5B7D1C30" w14:textId="77777777" w:rsidTr="000B3B5B">
        <w:tc>
          <w:tcPr>
            <w:tcW w:w="3334" w:type="dxa"/>
          </w:tcPr>
          <w:p w14:paraId="7ACC95EF" w14:textId="77777777" w:rsidR="000B3B5B" w:rsidRPr="006974C6" w:rsidRDefault="000B3B5B" w:rsidP="000B3B5B">
            <w:pPr>
              <w:rPr>
                <w:rFonts w:ascii="Verdana" w:hAnsi="Verdana"/>
                <w:sz w:val="18"/>
                <w:szCs w:val="18"/>
              </w:rPr>
            </w:pPr>
            <w:r w:rsidRPr="007B46B6">
              <w:rPr>
                <w:rFonts w:ascii="Verdana" w:hAnsi="Verdana"/>
                <w:sz w:val="18"/>
                <w:szCs w:val="18"/>
              </w:rPr>
              <w:t>Hanno van Keulen</w:t>
            </w:r>
          </w:p>
        </w:tc>
        <w:tc>
          <w:tcPr>
            <w:tcW w:w="6250" w:type="dxa"/>
          </w:tcPr>
          <w:p w14:paraId="15A0F8FF" w14:textId="1818DEC1" w:rsidR="000B3B5B" w:rsidRPr="006974C6" w:rsidRDefault="00300CFB" w:rsidP="00300CF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Vindplaatsenprogramma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0B3B5B" w:rsidRPr="007B46B6">
              <w:rPr>
                <w:rFonts w:ascii="Verdana" w:hAnsi="Verdana"/>
                <w:sz w:val="18"/>
                <w:szCs w:val="18"/>
              </w:rPr>
              <w:t>Talent</w:t>
            </w:r>
            <w:r>
              <w:rPr>
                <w:rFonts w:ascii="Verdana" w:hAnsi="Verdana"/>
                <w:sz w:val="18"/>
                <w:szCs w:val="18"/>
              </w:rPr>
              <w:t>enkracht</w:t>
            </w:r>
            <w:proofErr w:type="spellEnd"/>
          </w:p>
        </w:tc>
      </w:tr>
    </w:tbl>
    <w:p w14:paraId="69AF3733" w14:textId="77777777" w:rsidR="000B3B5B" w:rsidRDefault="000B3B5B" w:rsidP="000B3B5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01E59099" w14:textId="3976A705" w:rsidR="008632E1" w:rsidRPr="000D4590" w:rsidRDefault="008632E1" w:rsidP="000D4590">
      <w:pPr>
        <w:rPr>
          <w:sz w:val="22"/>
          <w:szCs w:val="22"/>
        </w:rPr>
      </w:pPr>
      <w:r w:rsidRPr="000D4590">
        <w:rPr>
          <w:sz w:val="22"/>
          <w:szCs w:val="22"/>
        </w:rPr>
        <w:t xml:space="preserve">De keuze uit deze vier leidde tot meer discussie, maar </w:t>
      </w:r>
      <w:r w:rsidR="00C34414">
        <w:rPr>
          <w:sz w:val="22"/>
          <w:szCs w:val="22"/>
        </w:rPr>
        <w:t xml:space="preserve">toch </w:t>
      </w:r>
      <w:r w:rsidRPr="000D4590">
        <w:rPr>
          <w:sz w:val="22"/>
          <w:szCs w:val="22"/>
        </w:rPr>
        <w:t>ook tot een unaniem keuze. Op alle dri</w:t>
      </w:r>
      <w:r w:rsidR="008F7A16" w:rsidRPr="000D4590">
        <w:rPr>
          <w:sz w:val="22"/>
          <w:szCs w:val="22"/>
        </w:rPr>
        <w:t>e</w:t>
      </w:r>
      <w:r w:rsidRPr="000D4590">
        <w:rPr>
          <w:sz w:val="22"/>
          <w:szCs w:val="22"/>
        </w:rPr>
        <w:t xml:space="preserve"> criteria verschillen de inzendi</w:t>
      </w:r>
      <w:r w:rsidR="008F7A16" w:rsidRPr="000D4590">
        <w:rPr>
          <w:sz w:val="22"/>
          <w:szCs w:val="22"/>
        </w:rPr>
        <w:t>ngen en dat niet aldoor in dezel</w:t>
      </w:r>
      <w:r w:rsidRPr="000D4590">
        <w:rPr>
          <w:sz w:val="22"/>
          <w:szCs w:val="22"/>
        </w:rPr>
        <w:t xml:space="preserve">fde richting zodat de jury ook </w:t>
      </w:r>
      <w:r w:rsidR="008F7A16" w:rsidRPr="000D4590">
        <w:rPr>
          <w:sz w:val="22"/>
          <w:szCs w:val="22"/>
        </w:rPr>
        <w:t>tussen de criteria moe</w:t>
      </w:r>
      <w:r w:rsidR="009C31EE" w:rsidRPr="000D4590">
        <w:rPr>
          <w:sz w:val="22"/>
          <w:szCs w:val="22"/>
        </w:rPr>
        <w:t>s</w:t>
      </w:r>
      <w:r w:rsidR="008F7A16" w:rsidRPr="000D4590">
        <w:rPr>
          <w:sz w:val="22"/>
          <w:szCs w:val="22"/>
        </w:rPr>
        <w:t>t</w:t>
      </w:r>
      <w:r w:rsidR="009C31EE" w:rsidRPr="000D4590">
        <w:rPr>
          <w:sz w:val="22"/>
          <w:szCs w:val="22"/>
        </w:rPr>
        <w:t xml:space="preserve"> wegen</w:t>
      </w:r>
      <w:r w:rsidR="008F7A16" w:rsidRPr="000D4590">
        <w:rPr>
          <w:sz w:val="22"/>
          <w:szCs w:val="22"/>
        </w:rPr>
        <w:t>. W</w:t>
      </w:r>
      <w:r w:rsidR="009C31EE" w:rsidRPr="000D4590">
        <w:rPr>
          <w:sz w:val="22"/>
          <w:szCs w:val="22"/>
        </w:rPr>
        <w:t>aar de een sterker was op wetenschappelijk onderbouwing was de ander sterker op reikwijdte, bijvoorbeeld door het al dan niet g</w:t>
      </w:r>
      <w:r w:rsidRPr="000D4590">
        <w:rPr>
          <w:sz w:val="22"/>
          <w:szCs w:val="22"/>
        </w:rPr>
        <w:t xml:space="preserve">ratis </w:t>
      </w:r>
      <w:r w:rsidR="009C31EE" w:rsidRPr="000D4590">
        <w:rPr>
          <w:sz w:val="22"/>
          <w:szCs w:val="22"/>
        </w:rPr>
        <w:t>beschikbaar zijn van producten</w:t>
      </w:r>
      <w:r w:rsidR="00C34414">
        <w:rPr>
          <w:sz w:val="22"/>
          <w:szCs w:val="22"/>
        </w:rPr>
        <w:t>,</w:t>
      </w:r>
      <w:r w:rsidR="008F7A16" w:rsidRPr="000D4590">
        <w:rPr>
          <w:sz w:val="22"/>
          <w:szCs w:val="22"/>
        </w:rPr>
        <w:t xml:space="preserve"> de omvang van de doelgroep, de toegankelijke schrijfwijze</w:t>
      </w:r>
      <w:r w:rsidR="009C31EE" w:rsidRPr="000D4590">
        <w:rPr>
          <w:sz w:val="22"/>
          <w:szCs w:val="22"/>
        </w:rPr>
        <w:t xml:space="preserve">. </w:t>
      </w:r>
      <w:r w:rsidR="008F7A16" w:rsidRPr="000D4590">
        <w:rPr>
          <w:sz w:val="22"/>
          <w:szCs w:val="22"/>
        </w:rPr>
        <w:t>Waar de een in volle omvang wetenschappelijk ond</w:t>
      </w:r>
      <w:r w:rsidR="000D4590" w:rsidRPr="000D4590">
        <w:rPr>
          <w:sz w:val="22"/>
          <w:szCs w:val="22"/>
        </w:rPr>
        <w:t>e</w:t>
      </w:r>
      <w:r w:rsidR="008F7A16" w:rsidRPr="000D4590">
        <w:rPr>
          <w:sz w:val="22"/>
          <w:szCs w:val="22"/>
        </w:rPr>
        <w:t>rbouwd is geldt dat voor de ander maar voor een gedeelte.</w:t>
      </w:r>
    </w:p>
    <w:p w14:paraId="5EE8F4BA" w14:textId="77777777" w:rsidR="009C31EE" w:rsidRDefault="009C31EE" w:rsidP="000B3B5B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2A0177CA" w14:textId="77777777" w:rsidR="000B3B5B" w:rsidRPr="000D4590" w:rsidRDefault="008632E1" w:rsidP="000D4590">
      <w:pPr>
        <w:rPr>
          <w:sz w:val="22"/>
          <w:szCs w:val="22"/>
        </w:rPr>
      </w:pPr>
      <w:r w:rsidRPr="000D4590">
        <w:rPr>
          <w:sz w:val="22"/>
          <w:szCs w:val="22"/>
        </w:rPr>
        <w:t xml:space="preserve">De winnaar </w:t>
      </w:r>
      <w:r w:rsidR="000D4590">
        <w:rPr>
          <w:sz w:val="22"/>
          <w:szCs w:val="22"/>
        </w:rPr>
        <w:t xml:space="preserve">scoort op alle drie criteria hoog en </w:t>
      </w:r>
      <w:r w:rsidRPr="000D4590">
        <w:rPr>
          <w:sz w:val="22"/>
          <w:szCs w:val="22"/>
        </w:rPr>
        <w:t>geeft een goed voorbeeld</w:t>
      </w:r>
      <w:r w:rsidR="000B3B5B" w:rsidRPr="000D4590">
        <w:rPr>
          <w:sz w:val="22"/>
          <w:szCs w:val="22"/>
        </w:rPr>
        <w:t xml:space="preserve"> van </w:t>
      </w:r>
      <w:r w:rsidRPr="000D4590">
        <w:rPr>
          <w:sz w:val="22"/>
          <w:szCs w:val="22"/>
        </w:rPr>
        <w:t xml:space="preserve">de bijdrage van </w:t>
      </w:r>
      <w:r w:rsidR="000B3B5B" w:rsidRPr="000D4590">
        <w:rPr>
          <w:sz w:val="22"/>
          <w:szCs w:val="22"/>
        </w:rPr>
        <w:t xml:space="preserve">onderwijskundig onderzoek in samenwerking met </w:t>
      </w:r>
      <w:r w:rsidRPr="000D4590">
        <w:rPr>
          <w:sz w:val="22"/>
          <w:szCs w:val="22"/>
        </w:rPr>
        <w:t>de praktijk</w:t>
      </w:r>
      <w:r w:rsidR="000B3B5B" w:rsidRPr="000D4590">
        <w:rPr>
          <w:sz w:val="22"/>
          <w:szCs w:val="22"/>
        </w:rPr>
        <w:t xml:space="preserve"> aan de verbeterin</w:t>
      </w:r>
      <w:r w:rsidR="009C31EE" w:rsidRPr="000D4590">
        <w:rPr>
          <w:sz w:val="22"/>
          <w:szCs w:val="22"/>
        </w:rPr>
        <w:t>g van het onderwijs</w:t>
      </w:r>
      <w:r w:rsidR="000B3B5B" w:rsidRPr="000D4590">
        <w:rPr>
          <w:sz w:val="22"/>
          <w:szCs w:val="22"/>
        </w:rPr>
        <w:t xml:space="preserve">. </w:t>
      </w:r>
      <w:r w:rsidR="009C31EE" w:rsidRPr="000D4590">
        <w:rPr>
          <w:sz w:val="22"/>
          <w:szCs w:val="22"/>
        </w:rPr>
        <w:t>De resultaten die</w:t>
      </w:r>
      <w:r w:rsidR="000B3B5B" w:rsidRPr="000D4590">
        <w:rPr>
          <w:sz w:val="22"/>
          <w:szCs w:val="22"/>
        </w:rPr>
        <w:t xml:space="preserve"> gepresenteerd worden zijn gebaseer</w:t>
      </w:r>
      <w:r w:rsidR="009C31EE" w:rsidRPr="000D4590">
        <w:rPr>
          <w:sz w:val="22"/>
          <w:szCs w:val="22"/>
        </w:rPr>
        <w:t xml:space="preserve">d op wetenschappelijk onderzoek en betreffen  </w:t>
      </w:r>
      <w:r w:rsidR="000B3B5B" w:rsidRPr="000D4590">
        <w:rPr>
          <w:sz w:val="22"/>
          <w:szCs w:val="22"/>
        </w:rPr>
        <w:t xml:space="preserve">algemene lessen </w:t>
      </w:r>
      <w:r w:rsidR="000D4590">
        <w:rPr>
          <w:sz w:val="22"/>
          <w:szCs w:val="22"/>
        </w:rPr>
        <w:t xml:space="preserve">die </w:t>
      </w:r>
      <w:r w:rsidR="000B3B5B" w:rsidRPr="000D4590">
        <w:rPr>
          <w:sz w:val="22"/>
          <w:szCs w:val="22"/>
        </w:rPr>
        <w:t xml:space="preserve">daarmee ook voor </w:t>
      </w:r>
      <w:r w:rsidR="000D4590">
        <w:rPr>
          <w:sz w:val="22"/>
          <w:szCs w:val="22"/>
        </w:rPr>
        <w:t>velen van waarde</w:t>
      </w:r>
      <w:r w:rsidR="000B3B5B" w:rsidRPr="000D4590">
        <w:rPr>
          <w:sz w:val="22"/>
          <w:szCs w:val="22"/>
        </w:rPr>
        <w:t xml:space="preserve"> zijn.</w:t>
      </w:r>
      <w:r w:rsidR="000D4590">
        <w:rPr>
          <w:sz w:val="22"/>
          <w:szCs w:val="22"/>
        </w:rPr>
        <w:t xml:space="preserve"> (ik probeer de termen nog wat algemeen te houden zodat het nog spannend blijft)</w:t>
      </w:r>
    </w:p>
    <w:p w14:paraId="155D404D" w14:textId="77777777" w:rsidR="000B3B5B" w:rsidRPr="000D4590" w:rsidRDefault="000B3B5B" w:rsidP="000D4590">
      <w:pPr>
        <w:rPr>
          <w:sz w:val="22"/>
          <w:szCs w:val="22"/>
        </w:rPr>
      </w:pPr>
    </w:p>
    <w:p w14:paraId="35787B20" w14:textId="595555B5" w:rsidR="003D1741" w:rsidRDefault="000B3B5B" w:rsidP="00892FA5">
      <w:pPr>
        <w:rPr>
          <w:sz w:val="22"/>
          <w:szCs w:val="22"/>
        </w:rPr>
      </w:pPr>
      <w:r w:rsidRPr="00892FA5">
        <w:rPr>
          <w:sz w:val="22"/>
          <w:szCs w:val="22"/>
        </w:rPr>
        <w:t xml:space="preserve">Het </w:t>
      </w:r>
      <w:r w:rsidR="000D4590" w:rsidRPr="00892FA5">
        <w:rPr>
          <w:sz w:val="22"/>
          <w:szCs w:val="22"/>
        </w:rPr>
        <w:t>product</w:t>
      </w:r>
      <w:r w:rsidR="00892FA5">
        <w:rPr>
          <w:sz w:val="22"/>
          <w:szCs w:val="22"/>
        </w:rPr>
        <w:t xml:space="preserve"> is zeer</w:t>
      </w:r>
      <w:r w:rsidRPr="00892FA5">
        <w:rPr>
          <w:sz w:val="22"/>
          <w:szCs w:val="22"/>
        </w:rPr>
        <w:t xml:space="preserve"> toegankelijk voor docenten (en andere niet-onderzoekers), maar met regelmaat worden </w:t>
      </w:r>
      <w:r w:rsidR="00C34414">
        <w:rPr>
          <w:sz w:val="22"/>
          <w:szCs w:val="22"/>
        </w:rPr>
        <w:t xml:space="preserve">ook </w:t>
      </w:r>
      <w:r w:rsidRPr="00892FA5">
        <w:rPr>
          <w:sz w:val="22"/>
          <w:szCs w:val="22"/>
        </w:rPr>
        <w:t>bevindingen uit het onderzoek geduid aan de hand v</w:t>
      </w:r>
      <w:r w:rsidR="000D4590" w:rsidRPr="00892FA5">
        <w:rPr>
          <w:sz w:val="22"/>
          <w:szCs w:val="22"/>
        </w:rPr>
        <w:t>an wetenschappelijke literatuur. S</w:t>
      </w:r>
      <w:r w:rsidRPr="00892FA5">
        <w:rPr>
          <w:sz w:val="22"/>
          <w:szCs w:val="22"/>
        </w:rPr>
        <w:t xml:space="preserve">prekende voorbeelden </w:t>
      </w:r>
      <w:r w:rsidR="000D4590" w:rsidRPr="00892FA5">
        <w:rPr>
          <w:sz w:val="22"/>
          <w:szCs w:val="22"/>
        </w:rPr>
        <w:t xml:space="preserve">laten </w:t>
      </w:r>
      <w:r w:rsidRPr="00892FA5">
        <w:rPr>
          <w:sz w:val="22"/>
          <w:szCs w:val="22"/>
        </w:rPr>
        <w:t xml:space="preserve">de bevindingen daadwerkelijk </w:t>
      </w:r>
      <w:r w:rsidR="000D4590" w:rsidRPr="00892FA5">
        <w:rPr>
          <w:sz w:val="22"/>
          <w:szCs w:val="22"/>
        </w:rPr>
        <w:t>l</w:t>
      </w:r>
      <w:r w:rsidRPr="00892FA5">
        <w:rPr>
          <w:sz w:val="22"/>
          <w:szCs w:val="22"/>
        </w:rPr>
        <w:t>even.</w:t>
      </w:r>
      <w:r w:rsidR="000D4590" w:rsidRPr="00892FA5">
        <w:rPr>
          <w:sz w:val="22"/>
          <w:szCs w:val="22"/>
        </w:rPr>
        <w:t xml:space="preserve"> Via het web </w:t>
      </w:r>
      <w:r w:rsidR="00892FA5" w:rsidRPr="00892FA5">
        <w:rPr>
          <w:sz w:val="22"/>
          <w:szCs w:val="22"/>
        </w:rPr>
        <w:t xml:space="preserve">is alles beschikbaar van uiteindelijk product tot </w:t>
      </w:r>
      <w:r w:rsidR="00892FA5">
        <w:rPr>
          <w:sz w:val="22"/>
          <w:szCs w:val="22"/>
        </w:rPr>
        <w:t xml:space="preserve">rapportages per </w:t>
      </w:r>
      <w:proofErr w:type="spellStart"/>
      <w:r w:rsidR="00892FA5">
        <w:rPr>
          <w:sz w:val="22"/>
          <w:szCs w:val="22"/>
        </w:rPr>
        <w:t>onderzoeksplek</w:t>
      </w:r>
      <w:proofErr w:type="spellEnd"/>
      <w:r w:rsidR="00C34414">
        <w:rPr>
          <w:sz w:val="22"/>
          <w:szCs w:val="22"/>
        </w:rPr>
        <w:t>. D</w:t>
      </w:r>
      <w:r w:rsidRPr="00892FA5">
        <w:rPr>
          <w:sz w:val="22"/>
          <w:szCs w:val="22"/>
        </w:rPr>
        <w:t>aar</w:t>
      </w:r>
      <w:r w:rsidR="00C34414">
        <w:rPr>
          <w:sz w:val="22"/>
          <w:szCs w:val="22"/>
        </w:rPr>
        <w:t xml:space="preserve"> zijn</w:t>
      </w:r>
      <w:r w:rsidRPr="00892FA5">
        <w:rPr>
          <w:sz w:val="22"/>
          <w:szCs w:val="22"/>
        </w:rPr>
        <w:t xml:space="preserve"> meer concrete onderzoeksvragen en meetinstrumenten terug te vinden zijn, wa</w:t>
      </w:r>
      <w:r w:rsidR="00892FA5" w:rsidRPr="00892FA5">
        <w:rPr>
          <w:sz w:val="22"/>
          <w:szCs w:val="22"/>
        </w:rPr>
        <w:t>ardoor d</w:t>
      </w:r>
      <w:r w:rsidRPr="00892FA5">
        <w:rPr>
          <w:sz w:val="22"/>
          <w:szCs w:val="22"/>
        </w:rPr>
        <w:t>e transparantie van d</w:t>
      </w:r>
      <w:r w:rsidR="00892FA5" w:rsidRPr="00892FA5">
        <w:rPr>
          <w:sz w:val="22"/>
          <w:szCs w:val="22"/>
        </w:rPr>
        <w:t xml:space="preserve">e manier waarop het product is ontstaan wordt </w:t>
      </w:r>
      <w:r w:rsidR="00C34414">
        <w:rPr>
          <w:sz w:val="22"/>
          <w:szCs w:val="22"/>
        </w:rPr>
        <w:t>bevorderd</w:t>
      </w:r>
      <w:r w:rsidRPr="00892FA5">
        <w:rPr>
          <w:sz w:val="22"/>
          <w:szCs w:val="22"/>
        </w:rPr>
        <w:t>.</w:t>
      </w:r>
      <w:r w:rsidR="00892FA5">
        <w:rPr>
          <w:sz w:val="22"/>
          <w:szCs w:val="22"/>
        </w:rPr>
        <w:t xml:space="preserve"> </w:t>
      </w:r>
      <w:r w:rsidR="003D1741">
        <w:rPr>
          <w:sz w:val="22"/>
          <w:szCs w:val="22"/>
        </w:rPr>
        <w:t>De winnaar neemt alle niveaus die bij een innovatie van belang zijn evenwichtig in beschouwing.</w:t>
      </w:r>
    </w:p>
    <w:p w14:paraId="6A185A75" w14:textId="77777777" w:rsidR="003D1741" w:rsidRDefault="003D1741" w:rsidP="00892FA5">
      <w:pPr>
        <w:rPr>
          <w:sz w:val="22"/>
          <w:szCs w:val="22"/>
        </w:rPr>
      </w:pPr>
    </w:p>
    <w:p w14:paraId="4353208E" w14:textId="77777777" w:rsidR="000B3B5B" w:rsidRDefault="00892FA5" w:rsidP="00892FA5">
      <w:pPr>
        <w:rPr>
          <w:sz w:val="22"/>
          <w:szCs w:val="22"/>
        </w:rPr>
      </w:pPr>
      <w:r>
        <w:rPr>
          <w:sz w:val="22"/>
          <w:szCs w:val="22"/>
        </w:rPr>
        <w:t xml:space="preserve">De winnaar van de VOR-praktijkprijs 2013 is </w:t>
      </w:r>
    </w:p>
    <w:p w14:paraId="6714D08F" w14:textId="77777777" w:rsidR="003D1741" w:rsidRPr="00892FA5" w:rsidRDefault="003D1741" w:rsidP="00892FA5">
      <w:pPr>
        <w:rPr>
          <w:sz w:val="22"/>
          <w:szCs w:val="22"/>
        </w:rPr>
      </w:pPr>
    </w:p>
    <w:tbl>
      <w:tblPr>
        <w:tblStyle w:val="Tabelraster"/>
        <w:tblW w:w="9584" w:type="dxa"/>
        <w:tblLayout w:type="fixed"/>
        <w:tblLook w:val="04A0" w:firstRow="1" w:lastRow="0" w:firstColumn="1" w:lastColumn="0" w:noHBand="0" w:noVBand="1"/>
      </w:tblPr>
      <w:tblGrid>
        <w:gridCol w:w="3334"/>
        <w:gridCol w:w="6250"/>
      </w:tblGrid>
      <w:tr w:rsidR="003D1741" w:rsidRPr="006974C6" w14:paraId="33C073B0" w14:textId="77777777" w:rsidTr="00F756D4">
        <w:tc>
          <w:tcPr>
            <w:tcW w:w="3334" w:type="dxa"/>
          </w:tcPr>
          <w:p w14:paraId="2491EA26" w14:textId="77777777" w:rsidR="003D1741" w:rsidRPr="006974C6" w:rsidRDefault="003D1741" w:rsidP="00F756D4">
            <w:pPr>
              <w:rPr>
                <w:rFonts w:ascii="Verdana" w:hAnsi="Verdana"/>
                <w:sz w:val="18"/>
                <w:szCs w:val="18"/>
              </w:rPr>
            </w:pPr>
            <w:r w:rsidRPr="007B46B6">
              <w:rPr>
                <w:rFonts w:ascii="Verdana" w:hAnsi="Verdana"/>
                <w:sz w:val="18"/>
                <w:szCs w:val="18"/>
              </w:rPr>
              <w:t>Hanno van Keulen</w:t>
            </w:r>
          </w:p>
        </w:tc>
        <w:tc>
          <w:tcPr>
            <w:tcW w:w="6250" w:type="dxa"/>
          </w:tcPr>
          <w:p w14:paraId="0CD07260" w14:textId="7FEF3D8A" w:rsidR="003D1741" w:rsidRPr="006974C6" w:rsidRDefault="00BF029D" w:rsidP="00F756D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Vindplaatsenprogramma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D1741" w:rsidRPr="007B46B6">
              <w:rPr>
                <w:rFonts w:ascii="Verdana" w:hAnsi="Verdana"/>
                <w:sz w:val="18"/>
                <w:szCs w:val="18"/>
              </w:rPr>
              <w:t>Talent</w:t>
            </w:r>
            <w:r w:rsidR="003D1741">
              <w:rPr>
                <w:rFonts w:ascii="Verdana" w:hAnsi="Verdana"/>
                <w:sz w:val="18"/>
                <w:szCs w:val="18"/>
              </w:rPr>
              <w:t>enkracht</w:t>
            </w:r>
            <w:proofErr w:type="spellEnd"/>
          </w:p>
        </w:tc>
      </w:tr>
    </w:tbl>
    <w:p w14:paraId="79230438" w14:textId="77777777" w:rsidR="00C070AC" w:rsidRPr="00892FA5" w:rsidRDefault="00C070AC" w:rsidP="000B3B5B">
      <w:pPr>
        <w:rPr>
          <w:sz w:val="22"/>
          <w:szCs w:val="22"/>
        </w:rPr>
      </w:pPr>
    </w:p>
    <w:sectPr w:rsidR="00C070AC" w:rsidRPr="00892FA5" w:rsidSect="00A94D13">
      <w:pgSz w:w="11900" w:h="16840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85660"/>
    <w:multiLevelType w:val="hybridMultilevel"/>
    <w:tmpl w:val="ADAE68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5B"/>
    <w:rsid w:val="000B3B5B"/>
    <w:rsid w:val="000D4590"/>
    <w:rsid w:val="00300CFB"/>
    <w:rsid w:val="003D1741"/>
    <w:rsid w:val="008632E1"/>
    <w:rsid w:val="00892FA5"/>
    <w:rsid w:val="008F7A16"/>
    <w:rsid w:val="009633EC"/>
    <w:rsid w:val="009C31EE"/>
    <w:rsid w:val="00A94D13"/>
    <w:rsid w:val="00BF029D"/>
    <w:rsid w:val="00C070AC"/>
    <w:rsid w:val="00C34414"/>
    <w:rsid w:val="00D507CB"/>
    <w:rsid w:val="00DA5F40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031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B3B5B"/>
    <w:pPr>
      <w:ind w:left="720"/>
      <w:contextualSpacing/>
    </w:pPr>
    <w:rPr>
      <w:lang w:eastAsia="en-US"/>
    </w:rPr>
  </w:style>
  <w:style w:type="table" w:styleId="Tabelraster">
    <w:name w:val="Table Grid"/>
    <w:basedOn w:val="Standaardtabel"/>
    <w:uiPriority w:val="59"/>
    <w:rsid w:val="000B3B5B"/>
    <w:rPr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B3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B3B5B"/>
    <w:pPr>
      <w:ind w:left="720"/>
      <w:contextualSpacing/>
    </w:pPr>
    <w:rPr>
      <w:lang w:eastAsia="en-US"/>
    </w:rPr>
  </w:style>
  <w:style w:type="table" w:styleId="Tabelraster">
    <w:name w:val="Table Grid"/>
    <w:basedOn w:val="Standaardtabel"/>
    <w:uiPriority w:val="59"/>
    <w:rsid w:val="000B3B5B"/>
    <w:rPr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B3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3368</Characters>
  <Application>Microsoft Macintosh Word</Application>
  <DocSecurity>0</DocSecurity>
  <Lines>28</Lines>
  <Paragraphs>7</Paragraphs>
  <ScaleCrop>false</ScaleCrop>
  <Company>universiteit Utrecht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Wubbels</dc:creator>
  <cp:keywords/>
  <dc:description/>
  <cp:lastModifiedBy>Hanno van Keulen</cp:lastModifiedBy>
  <cp:revision>2</cp:revision>
  <cp:lastPrinted>2013-06-03T06:38:00Z</cp:lastPrinted>
  <dcterms:created xsi:type="dcterms:W3CDTF">2013-06-05T08:49:00Z</dcterms:created>
  <dcterms:modified xsi:type="dcterms:W3CDTF">2013-06-05T08:49:00Z</dcterms:modified>
</cp:coreProperties>
</file>