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BB" w:rsidRDefault="009B01BB" w:rsidP="00024039">
      <w:pPr>
        <w:jc w:val="both"/>
        <w:rPr>
          <w:bCs/>
          <w:i/>
        </w:rPr>
      </w:pPr>
      <w:r w:rsidRPr="00813EB7">
        <w:rPr>
          <w:bCs/>
          <w:i/>
        </w:rPr>
        <w:t>Implementing the Urban Agenda – The role of the digital transfor</w:t>
      </w:r>
      <w:r>
        <w:rPr>
          <w:bCs/>
          <w:i/>
        </w:rPr>
        <w:t>mation and financing mechanisms</w:t>
      </w:r>
      <w:r w:rsidRPr="00813EB7">
        <w:rPr>
          <w:bCs/>
          <w:i/>
        </w:rPr>
        <w:t xml:space="preserve"> </w:t>
      </w:r>
    </w:p>
    <w:p w:rsidR="00973545" w:rsidRPr="00024039" w:rsidRDefault="00024039" w:rsidP="00024039">
      <w:pPr>
        <w:jc w:val="both"/>
      </w:pPr>
      <w:r w:rsidRPr="00024039">
        <w:t>The event will raise awareness on the growing synergy between the Urban Agenda for the EU and the UfM Urban Agenda in integrating urban infrastructure and services in the Euro-Mediterranean region, by showcasing the Urban Projects Finance Initiative (UPFI) as a catalyst and facilitator to this end. At the same time, the session will highlight</w:t>
      </w:r>
      <w:r w:rsidR="00973545" w:rsidRPr="00024039">
        <w:t xml:space="preserve"> </w:t>
      </w:r>
      <w:r w:rsidR="009B01BB">
        <w:t xml:space="preserve">how the Urban Agenda for the EU has recognised the role of the digital transformation and how </w:t>
      </w:r>
      <w:r w:rsidRPr="00024039">
        <w:t xml:space="preserve">the </w:t>
      </w:r>
      <w:r w:rsidR="009B01BB">
        <w:t xml:space="preserve">implementation of interoperable, </w:t>
      </w:r>
      <w:r w:rsidR="00973545" w:rsidRPr="00024039">
        <w:t xml:space="preserve">standard-based urban digital platforms </w:t>
      </w:r>
      <w:r w:rsidR="009B01BB">
        <w:t>could facilitate the scaling up of digital</w:t>
      </w:r>
      <w:r w:rsidR="00973545" w:rsidRPr="00024039">
        <w:t xml:space="preserve"> solutions</w:t>
      </w:r>
      <w:r w:rsidR="009B01BB">
        <w:t>. The session will</w:t>
      </w:r>
      <w:r w:rsidRPr="00024039">
        <w:t xml:space="preserve"> showcase cities in different parts of the world that have benefitted from these digital enablers, and </w:t>
      </w:r>
      <w:r w:rsidR="00973545" w:rsidRPr="00024039">
        <w:t xml:space="preserve">demonstrate the impact of the funding mechanisms to </w:t>
      </w:r>
      <w:r w:rsidRPr="00024039">
        <w:t>replicate cases in other places.</w:t>
      </w:r>
    </w:p>
    <w:p w:rsidR="00D76AC2" w:rsidRPr="00024039" w:rsidRDefault="00D76AC2" w:rsidP="00024039">
      <w:pPr>
        <w:jc w:val="both"/>
      </w:pPr>
      <w:r w:rsidRPr="00024039">
        <w:t xml:space="preserve">The event will bring together key urban development actors for the implementation of the evolving UfM Action Plan for Sustainable Urban Development for 2020s through bankable programmes and projects with regional added value, which would maximise opportunities and alleviate challenges for sustainable urban development in the region. </w:t>
      </w:r>
    </w:p>
    <w:p w:rsidR="00D76AC2" w:rsidRPr="00024039" w:rsidRDefault="00D76AC2" w:rsidP="00024039">
      <w:pPr>
        <w:jc w:val="both"/>
      </w:pPr>
      <w:r w:rsidRPr="00024039">
        <w:t xml:space="preserve">The session </w:t>
      </w:r>
      <w:r w:rsidR="00024039" w:rsidRPr="00024039">
        <w:t>will also</w:t>
      </w:r>
      <w:r w:rsidRPr="00024039">
        <w:t xml:space="preserve"> present the pathway towards an ‘EU ecosystem for the communities of the future’, </w:t>
      </w:r>
      <w:r w:rsidR="00076CFC">
        <w:t>built</w:t>
      </w:r>
      <w:r w:rsidRPr="00024039">
        <w:t xml:space="preserve"> on open, digital and trustworthy urban platforms, while at the same time respecting citizens’ digital rights. It </w:t>
      </w:r>
      <w:r w:rsidR="00076CFC">
        <w:t>will</w:t>
      </w:r>
      <w:r w:rsidRPr="00024039">
        <w:t xml:space="preserve"> demonstrate how a set of principles and open standards, </w:t>
      </w:r>
      <w:r w:rsidR="009B01BB">
        <w:t>endorsed by numerous European cities</w:t>
      </w:r>
      <w:r w:rsidR="00076CFC">
        <w:t>,</w:t>
      </w:r>
      <w:r w:rsidRPr="00024039">
        <w:t xml:space="preserve"> could be re-used by cities and communities in other parts of the world. As such, the session aims to trigger the interest of potential partners that may wish to re-use some of the presented European solutions.</w:t>
      </w:r>
    </w:p>
    <w:p w:rsidR="00973545" w:rsidRDefault="00D76AC2" w:rsidP="00024039">
      <w:pPr>
        <w:jc w:val="both"/>
      </w:pPr>
      <w:r w:rsidRPr="00024039">
        <w:t>The groundwork for a UfM Action Plan is already underway. This Action Plan will enhance regional interaction, cooperation and convergence, foster inclusive and sustainable development, reinforce and expand the stakeholder base, and align the UfM work with other regional and global action agendas and best practices.</w:t>
      </w:r>
      <w:r w:rsidR="00076CFC">
        <w:t xml:space="preserve"> </w:t>
      </w:r>
      <w:r w:rsidR="00973545">
        <w:t xml:space="preserve">To implement innovative projects at local level that often combine urban development, housing, air quality, mobility, energy efficiency and public services, the role of digital technologies cannot be underestimated. At the same time, however, sufficient investment is needed to launch and sustain innovative urban digital projects. </w:t>
      </w:r>
    </w:p>
    <w:p w:rsidR="00973545" w:rsidRDefault="00973545" w:rsidP="00024039">
      <w:pPr>
        <w:jc w:val="both"/>
      </w:pPr>
      <w:r>
        <w:t xml:space="preserve">The UfM has been successful in identifying and sharing good practices and in mobilising financing instruments, such as </w:t>
      </w:r>
      <w:r w:rsidR="000B3E9E">
        <w:t xml:space="preserve">UPFI. </w:t>
      </w:r>
      <w:r>
        <w:t xml:space="preserve">UPFI identifies and prepares potentially replicable and innovative integrated urban projects, in order to accelerate their implementation and enable them to become bankable. The initiative offers technical assistance for project preparation and subsequent access to funding. </w:t>
      </w:r>
    </w:p>
    <w:p w:rsidR="00F20B72" w:rsidRDefault="00F20B72">
      <w:pPr>
        <w:rPr>
          <w:strike/>
        </w:rPr>
      </w:pPr>
    </w:p>
    <w:p w:rsidR="00F20B72" w:rsidRDefault="00F20B72" w:rsidP="00F20B72">
      <w:r>
        <w:t>Other Organization name: The European Commission (DG CONNECT</w:t>
      </w:r>
      <w:r w:rsidR="005543AB">
        <w:t xml:space="preserve"> and DG REGIO</w:t>
      </w:r>
      <w:r>
        <w:t>) and the Union for the Mediterranean are lead organisers; the EIB, the AFD and OASC are associated</w:t>
      </w:r>
    </w:p>
    <w:p w:rsidR="00024039" w:rsidRDefault="00024039" w:rsidP="00F20B72"/>
    <w:p w:rsidR="00F20B72" w:rsidRDefault="00F20B72" w:rsidP="00F20B72">
      <w:r>
        <w:t xml:space="preserve">Prospective moderator, speaker(s) or </w:t>
      </w:r>
      <w:proofErr w:type="spellStart"/>
      <w:r>
        <w:t>panelist</w:t>
      </w:r>
      <w:proofErr w:type="spellEnd"/>
      <w:r>
        <w:t>(s)</w:t>
      </w:r>
    </w:p>
    <w:tbl>
      <w:tblPr>
        <w:tblStyle w:val="TableGrid"/>
        <w:tblW w:w="0" w:type="auto"/>
        <w:tblLook w:val="04A0" w:firstRow="1" w:lastRow="0" w:firstColumn="1" w:lastColumn="0" w:noHBand="0" w:noVBand="1"/>
      </w:tblPr>
      <w:tblGrid>
        <w:gridCol w:w="562"/>
        <w:gridCol w:w="1843"/>
        <w:gridCol w:w="1985"/>
        <w:gridCol w:w="2126"/>
        <w:gridCol w:w="2500"/>
      </w:tblGrid>
      <w:tr w:rsidR="00F20B72" w:rsidTr="005543AB">
        <w:tc>
          <w:tcPr>
            <w:tcW w:w="562" w:type="dxa"/>
          </w:tcPr>
          <w:p w:rsidR="00F20B72" w:rsidRDefault="00F20B72" w:rsidP="00F20B72">
            <w:pPr>
              <w:rPr>
                <w:strike/>
              </w:rPr>
            </w:pPr>
          </w:p>
        </w:tc>
        <w:tc>
          <w:tcPr>
            <w:tcW w:w="1843" w:type="dxa"/>
          </w:tcPr>
          <w:p w:rsidR="00F20B72" w:rsidRPr="00F20B72" w:rsidRDefault="00F20B72" w:rsidP="00F20B72">
            <w:r w:rsidRPr="00F20B72">
              <w:t>First name</w:t>
            </w:r>
          </w:p>
        </w:tc>
        <w:tc>
          <w:tcPr>
            <w:tcW w:w="1985" w:type="dxa"/>
          </w:tcPr>
          <w:p w:rsidR="00F20B72" w:rsidRPr="00F20B72" w:rsidRDefault="00F20B72" w:rsidP="00F20B72">
            <w:r w:rsidRPr="00F20B72">
              <w:t>Last name</w:t>
            </w:r>
          </w:p>
        </w:tc>
        <w:tc>
          <w:tcPr>
            <w:tcW w:w="2126" w:type="dxa"/>
          </w:tcPr>
          <w:p w:rsidR="00F20B72" w:rsidRPr="00F20B72" w:rsidRDefault="00F20B72" w:rsidP="00F20B72">
            <w:r w:rsidRPr="00F20B72">
              <w:t>Role</w:t>
            </w:r>
          </w:p>
        </w:tc>
        <w:tc>
          <w:tcPr>
            <w:tcW w:w="2500" w:type="dxa"/>
          </w:tcPr>
          <w:p w:rsidR="00F20B72" w:rsidRPr="00F20B72" w:rsidRDefault="00F20B72" w:rsidP="00F20B72">
            <w:r w:rsidRPr="00F20B72">
              <w:t>Organization</w:t>
            </w:r>
          </w:p>
        </w:tc>
      </w:tr>
      <w:tr w:rsidR="00F20B72" w:rsidTr="005543AB">
        <w:tc>
          <w:tcPr>
            <w:tcW w:w="562" w:type="dxa"/>
          </w:tcPr>
          <w:p w:rsidR="00F20B72" w:rsidRPr="00797EC4" w:rsidRDefault="00F20B72" w:rsidP="00F20B72">
            <w:r w:rsidRPr="00797EC4">
              <w:t>1</w:t>
            </w:r>
          </w:p>
        </w:tc>
        <w:tc>
          <w:tcPr>
            <w:tcW w:w="1843" w:type="dxa"/>
          </w:tcPr>
          <w:p w:rsidR="00F20B72" w:rsidRPr="00797EC4" w:rsidRDefault="00797EC4" w:rsidP="00797EC4">
            <w:r w:rsidRPr="00797EC4">
              <w:t xml:space="preserve">Wallis </w:t>
            </w:r>
          </w:p>
        </w:tc>
        <w:tc>
          <w:tcPr>
            <w:tcW w:w="1985" w:type="dxa"/>
          </w:tcPr>
          <w:p w:rsidR="00F20B72" w:rsidRDefault="00797EC4" w:rsidP="00F20B72">
            <w:pPr>
              <w:rPr>
                <w:strike/>
              </w:rPr>
            </w:pPr>
            <w:proofErr w:type="spellStart"/>
            <w:r w:rsidRPr="003F520B">
              <w:t>Goelen</w:t>
            </w:r>
            <w:proofErr w:type="spellEnd"/>
            <w:r w:rsidRPr="003F520B">
              <w:t xml:space="preserve"> </w:t>
            </w:r>
            <w:proofErr w:type="spellStart"/>
            <w:r w:rsidRPr="003F520B">
              <w:t>Vandebrock</w:t>
            </w:r>
            <w:proofErr w:type="spellEnd"/>
          </w:p>
        </w:tc>
        <w:tc>
          <w:tcPr>
            <w:tcW w:w="2126" w:type="dxa"/>
          </w:tcPr>
          <w:p w:rsidR="00F20B72" w:rsidRPr="00797EC4" w:rsidRDefault="00797EC4" w:rsidP="00F20B72">
            <w:pPr>
              <w:rPr>
                <w:strike/>
              </w:rPr>
            </w:pPr>
            <w:r w:rsidRPr="00797EC4">
              <w:t>Welcoming speeches</w:t>
            </w:r>
          </w:p>
        </w:tc>
        <w:tc>
          <w:tcPr>
            <w:tcW w:w="2500" w:type="dxa"/>
          </w:tcPr>
          <w:p w:rsidR="00F20B72" w:rsidRPr="00797EC4" w:rsidRDefault="00261298" w:rsidP="00F20B72">
            <w:r w:rsidRPr="007760B1">
              <w:t>Senior Expert to</w:t>
            </w:r>
            <w:r>
              <w:t xml:space="preserve"> the Deputy Director-General of </w:t>
            </w:r>
            <w:r w:rsidRPr="007760B1">
              <w:t>Inclusive Growth, Urban and T</w:t>
            </w:r>
            <w:r>
              <w:t xml:space="preserve">erritorial Development, </w:t>
            </w:r>
            <w:r w:rsidRPr="00797EC4">
              <w:t>European Commis</w:t>
            </w:r>
            <w:r>
              <w:t>s</w:t>
            </w:r>
            <w:r w:rsidRPr="00797EC4">
              <w:t>ion, DG REGIO</w:t>
            </w:r>
          </w:p>
        </w:tc>
      </w:tr>
      <w:tr w:rsidR="00F20B72" w:rsidTr="005543AB">
        <w:tc>
          <w:tcPr>
            <w:tcW w:w="562" w:type="dxa"/>
          </w:tcPr>
          <w:p w:rsidR="00F20B72" w:rsidRPr="00797EC4" w:rsidRDefault="00F20B72" w:rsidP="00F20B72">
            <w:r w:rsidRPr="00797EC4">
              <w:lastRenderedPageBreak/>
              <w:t>2</w:t>
            </w:r>
          </w:p>
        </w:tc>
        <w:tc>
          <w:tcPr>
            <w:tcW w:w="1843" w:type="dxa"/>
          </w:tcPr>
          <w:p w:rsidR="00F20B72" w:rsidRPr="00797EC4" w:rsidRDefault="00797EC4" w:rsidP="00797EC4">
            <w:r w:rsidRPr="00797EC4">
              <w:t xml:space="preserve">Amb. </w:t>
            </w:r>
            <w:r w:rsidRPr="003F520B">
              <w:t xml:space="preserve">Ayşe </w:t>
            </w:r>
          </w:p>
        </w:tc>
        <w:tc>
          <w:tcPr>
            <w:tcW w:w="1985" w:type="dxa"/>
          </w:tcPr>
          <w:p w:rsidR="00F20B72" w:rsidRDefault="00797EC4" w:rsidP="00F20B72">
            <w:pPr>
              <w:rPr>
                <w:strike/>
              </w:rPr>
            </w:pPr>
            <w:r w:rsidRPr="003F520B">
              <w:t>Asya</w:t>
            </w:r>
          </w:p>
        </w:tc>
        <w:tc>
          <w:tcPr>
            <w:tcW w:w="2126" w:type="dxa"/>
          </w:tcPr>
          <w:p w:rsidR="00F20B72" w:rsidRPr="00797EC4" w:rsidRDefault="00797EC4" w:rsidP="00F20B72">
            <w:pPr>
              <w:rPr>
                <w:strike/>
              </w:rPr>
            </w:pPr>
            <w:r w:rsidRPr="00797EC4">
              <w:t>Welcoming speeches</w:t>
            </w:r>
          </w:p>
        </w:tc>
        <w:tc>
          <w:tcPr>
            <w:tcW w:w="2500" w:type="dxa"/>
          </w:tcPr>
          <w:p w:rsidR="00F20B72" w:rsidRPr="00797EC4" w:rsidRDefault="00261298" w:rsidP="00F20B72">
            <w:r>
              <w:t xml:space="preserve">Deputy Secretary-General for Transport and Urban Development, </w:t>
            </w:r>
            <w:r w:rsidRPr="00797EC4">
              <w:t>Union for the Mediterranean</w:t>
            </w:r>
          </w:p>
        </w:tc>
      </w:tr>
      <w:tr w:rsidR="00F20B72" w:rsidTr="005543AB">
        <w:tc>
          <w:tcPr>
            <w:tcW w:w="562" w:type="dxa"/>
          </w:tcPr>
          <w:p w:rsidR="00F20B72" w:rsidRPr="00797EC4" w:rsidRDefault="00F20B72" w:rsidP="00F20B72">
            <w:r w:rsidRPr="00797EC4">
              <w:t>3</w:t>
            </w:r>
          </w:p>
        </w:tc>
        <w:tc>
          <w:tcPr>
            <w:tcW w:w="1843" w:type="dxa"/>
          </w:tcPr>
          <w:p w:rsidR="00F20B72" w:rsidRDefault="00797EC4" w:rsidP="00797EC4">
            <w:pPr>
              <w:rPr>
                <w:strike/>
              </w:rPr>
            </w:pPr>
            <w:r w:rsidRPr="00B026D5">
              <w:t xml:space="preserve">Martin </w:t>
            </w:r>
          </w:p>
        </w:tc>
        <w:tc>
          <w:tcPr>
            <w:tcW w:w="1985" w:type="dxa"/>
          </w:tcPr>
          <w:p w:rsidR="00F20B72" w:rsidRDefault="00797EC4" w:rsidP="00F20B72">
            <w:pPr>
              <w:rPr>
                <w:strike/>
              </w:rPr>
            </w:pPr>
            <w:r w:rsidRPr="00B026D5">
              <w:t>Brynskov</w:t>
            </w:r>
          </w:p>
        </w:tc>
        <w:tc>
          <w:tcPr>
            <w:tcW w:w="2126" w:type="dxa"/>
          </w:tcPr>
          <w:p w:rsidR="00F20B72" w:rsidRPr="00797EC4" w:rsidRDefault="00797EC4" w:rsidP="00F20B72">
            <w:r w:rsidRPr="00797EC4">
              <w:t>Moderator</w:t>
            </w:r>
          </w:p>
        </w:tc>
        <w:tc>
          <w:tcPr>
            <w:tcW w:w="2500" w:type="dxa"/>
          </w:tcPr>
          <w:p w:rsidR="00F20B72" w:rsidRPr="00797EC4" w:rsidRDefault="00797EC4" w:rsidP="00F20B72">
            <w:r w:rsidRPr="00797EC4">
              <w:t>O</w:t>
            </w:r>
            <w:r>
              <w:t>pen and Agile Smart Cities (O</w:t>
            </w:r>
            <w:r w:rsidRPr="00797EC4">
              <w:t>ASC</w:t>
            </w:r>
            <w:r>
              <w:t>)</w:t>
            </w:r>
          </w:p>
        </w:tc>
      </w:tr>
      <w:tr w:rsidR="00F20B72" w:rsidTr="005543AB">
        <w:tc>
          <w:tcPr>
            <w:tcW w:w="562" w:type="dxa"/>
          </w:tcPr>
          <w:p w:rsidR="00F20B72" w:rsidRPr="00797EC4" w:rsidRDefault="00F20B72" w:rsidP="00F20B72">
            <w:r w:rsidRPr="00797EC4">
              <w:t>4</w:t>
            </w:r>
          </w:p>
        </w:tc>
        <w:tc>
          <w:tcPr>
            <w:tcW w:w="1843" w:type="dxa"/>
          </w:tcPr>
          <w:p w:rsidR="00F20B72" w:rsidRDefault="005543AB" w:rsidP="005543AB">
            <w:pPr>
              <w:rPr>
                <w:strike/>
              </w:rPr>
            </w:pPr>
            <w:r>
              <w:t xml:space="preserve">Peter </w:t>
            </w:r>
          </w:p>
        </w:tc>
        <w:tc>
          <w:tcPr>
            <w:tcW w:w="1985" w:type="dxa"/>
          </w:tcPr>
          <w:p w:rsidR="00F20B72" w:rsidRDefault="005543AB" w:rsidP="00F20B72">
            <w:pPr>
              <w:rPr>
                <w:strike/>
              </w:rPr>
            </w:pPr>
            <w:proofErr w:type="spellStart"/>
            <w:r>
              <w:t>Diry</w:t>
            </w:r>
            <w:proofErr w:type="spellEnd"/>
          </w:p>
        </w:tc>
        <w:tc>
          <w:tcPr>
            <w:tcW w:w="2126" w:type="dxa"/>
          </w:tcPr>
          <w:p w:rsidR="00F20B72" w:rsidRPr="005543AB" w:rsidRDefault="005543AB" w:rsidP="00F20B72">
            <w:r w:rsidRPr="005543AB">
              <w:t>Panellist</w:t>
            </w:r>
          </w:p>
        </w:tc>
        <w:tc>
          <w:tcPr>
            <w:tcW w:w="2500" w:type="dxa"/>
          </w:tcPr>
          <w:p w:rsidR="00F20B72" w:rsidRPr="005543AB" w:rsidRDefault="00076CFC" w:rsidP="00F20B72">
            <w:r w:rsidRPr="00076CFC">
              <w:t>Minister Counsellor for Digital Policy, EU delegation to the United Arab Emirates</w:t>
            </w:r>
          </w:p>
        </w:tc>
      </w:tr>
      <w:tr w:rsidR="005543AB" w:rsidTr="005543AB">
        <w:tc>
          <w:tcPr>
            <w:tcW w:w="562" w:type="dxa"/>
          </w:tcPr>
          <w:p w:rsidR="005543AB" w:rsidRPr="00797EC4" w:rsidRDefault="005543AB" w:rsidP="005543AB">
            <w:r w:rsidRPr="00797EC4">
              <w:t>5</w:t>
            </w:r>
          </w:p>
        </w:tc>
        <w:tc>
          <w:tcPr>
            <w:tcW w:w="1843" w:type="dxa"/>
          </w:tcPr>
          <w:p w:rsidR="005543AB" w:rsidRDefault="005543AB" w:rsidP="005543AB">
            <w:pPr>
              <w:rPr>
                <w:strike/>
              </w:rPr>
            </w:pPr>
            <w:r w:rsidRPr="009D7B78">
              <w:t xml:space="preserve">Gerry </w:t>
            </w:r>
          </w:p>
        </w:tc>
        <w:tc>
          <w:tcPr>
            <w:tcW w:w="1985" w:type="dxa"/>
          </w:tcPr>
          <w:p w:rsidR="005543AB" w:rsidRDefault="005543AB" w:rsidP="005543AB">
            <w:pPr>
              <w:rPr>
                <w:strike/>
              </w:rPr>
            </w:pPr>
            <w:r w:rsidRPr="009D7B78">
              <w:t>Muscat</w:t>
            </w:r>
          </w:p>
        </w:tc>
        <w:tc>
          <w:tcPr>
            <w:tcW w:w="2126" w:type="dxa"/>
          </w:tcPr>
          <w:p w:rsidR="005543AB" w:rsidRPr="005543AB" w:rsidRDefault="005543AB" w:rsidP="005543AB">
            <w:r w:rsidRPr="005543AB">
              <w:t>Panellist</w:t>
            </w:r>
          </w:p>
        </w:tc>
        <w:tc>
          <w:tcPr>
            <w:tcW w:w="2500" w:type="dxa"/>
          </w:tcPr>
          <w:p w:rsidR="005543AB" w:rsidRPr="005543AB" w:rsidRDefault="005543AB" w:rsidP="005543AB">
            <w:r w:rsidRPr="009D7B78">
              <w:t>Head of Urban Development Division, Projects Directorate</w:t>
            </w:r>
            <w:r>
              <w:t>, European Investment Bank (EIB)</w:t>
            </w:r>
          </w:p>
        </w:tc>
      </w:tr>
      <w:tr w:rsidR="000B1345" w:rsidTr="005543AB">
        <w:tc>
          <w:tcPr>
            <w:tcW w:w="562" w:type="dxa"/>
          </w:tcPr>
          <w:p w:rsidR="000B1345" w:rsidRPr="00797EC4" w:rsidRDefault="000B1345" w:rsidP="000B1345">
            <w:r w:rsidRPr="00797EC4">
              <w:t>6</w:t>
            </w:r>
          </w:p>
        </w:tc>
        <w:tc>
          <w:tcPr>
            <w:tcW w:w="1843" w:type="dxa"/>
          </w:tcPr>
          <w:p w:rsidR="000B1345" w:rsidRPr="005543AB" w:rsidRDefault="000B1345" w:rsidP="000B1345">
            <w:proofErr w:type="spellStart"/>
            <w:r w:rsidRPr="000B1345">
              <w:t>Noureddine</w:t>
            </w:r>
            <w:proofErr w:type="spellEnd"/>
            <w:r w:rsidRPr="000B1345">
              <w:t xml:space="preserve"> </w:t>
            </w:r>
            <w:r>
              <w:br/>
            </w:r>
          </w:p>
        </w:tc>
        <w:tc>
          <w:tcPr>
            <w:tcW w:w="1985" w:type="dxa"/>
          </w:tcPr>
          <w:p w:rsidR="000B1345" w:rsidRPr="000B1345" w:rsidRDefault="000B1345" w:rsidP="000B1345">
            <w:proofErr w:type="spellStart"/>
            <w:r w:rsidRPr="000B1345">
              <w:t>Selmi</w:t>
            </w:r>
            <w:proofErr w:type="spellEnd"/>
            <w:r w:rsidRPr="000B1345">
              <w:t xml:space="preserve"> </w:t>
            </w:r>
          </w:p>
        </w:tc>
        <w:tc>
          <w:tcPr>
            <w:tcW w:w="2126" w:type="dxa"/>
          </w:tcPr>
          <w:p w:rsidR="000B1345" w:rsidRPr="000B1345" w:rsidRDefault="000B1345" w:rsidP="000B1345">
            <w:r w:rsidRPr="005543AB">
              <w:t>Panellist</w:t>
            </w:r>
          </w:p>
        </w:tc>
        <w:tc>
          <w:tcPr>
            <w:tcW w:w="2500" w:type="dxa"/>
          </w:tcPr>
          <w:p w:rsidR="000B1345" w:rsidRPr="000B1345" w:rsidRDefault="000B1345" w:rsidP="000B1345">
            <w:r>
              <w:t xml:space="preserve">Minister </w:t>
            </w:r>
            <w:r w:rsidRPr="000B1345">
              <w:t>of Equipment H</w:t>
            </w:r>
            <w:r>
              <w:t>ousing and Territorial Planning</w:t>
            </w:r>
            <w:r>
              <w:t>, Tunisia</w:t>
            </w:r>
          </w:p>
        </w:tc>
      </w:tr>
      <w:tr w:rsidR="000B1345" w:rsidTr="005543AB">
        <w:tc>
          <w:tcPr>
            <w:tcW w:w="562" w:type="dxa"/>
          </w:tcPr>
          <w:p w:rsidR="000B1345" w:rsidRPr="00797EC4" w:rsidRDefault="000B1345" w:rsidP="000B1345">
            <w:r>
              <w:t>7</w:t>
            </w:r>
          </w:p>
        </w:tc>
        <w:tc>
          <w:tcPr>
            <w:tcW w:w="1843" w:type="dxa"/>
          </w:tcPr>
          <w:p w:rsidR="000B1345" w:rsidRDefault="000B1345" w:rsidP="000B1345">
            <w:pPr>
              <w:rPr>
                <w:strike/>
              </w:rPr>
            </w:pPr>
            <w:r w:rsidRPr="005543AB">
              <w:t>Roberto</w:t>
            </w:r>
          </w:p>
        </w:tc>
        <w:tc>
          <w:tcPr>
            <w:tcW w:w="1985" w:type="dxa"/>
          </w:tcPr>
          <w:p w:rsidR="000B1345" w:rsidRDefault="000B1345" w:rsidP="000B1345">
            <w:pPr>
              <w:rPr>
                <w:strike/>
              </w:rPr>
            </w:pPr>
            <w:r w:rsidRPr="005543AB">
              <w:t>Rocco</w:t>
            </w:r>
          </w:p>
        </w:tc>
        <w:tc>
          <w:tcPr>
            <w:tcW w:w="2126" w:type="dxa"/>
          </w:tcPr>
          <w:p w:rsidR="000B1345" w:rsidRDefault="000B1345" w:rsidP="000B1345">
            <w:pPr>
              <w:rPr>
                <w:strike/>
              </w:rPr>
            </w:pPr>
            <w:r w:rsidRPr="005543AB">
              <w:t>Panellist</w:t>
            </w:r>
          </w:p>
        </w:tc>
        <w:tc>
          <w:tcPr>
            <w:tcW w:w="2500" w:type="dxa"/>
          </w:tcPr>
          <w:p w:rsidR="000B1345" w:rsidRDefault="000B1345" w:rsidP="000B1345">
            <w:pPr>
              <w:rPr>
                <w:strike/>
              </w:rPr>
            </w:pPr>
            <w:r w:rsidRPr="00CA0850">
              <w:t>Associate Professor of Spatial Planning at the Delft University of Technology, in The Netherlands</w:t>
            </w:r>
          </w:p>
        </w:tc>
      </w:tr>
      <w:tr w:rsidR="005543AB" w:rsidTr="005543AB">
        <w:tc>
          <w:tcPr>
            <w:tcW w:w="562" w:type="dxa"/>
          </w:tcPr>
          <w:p w:rsidR="005543AB" w:rsidRPr="00797EC4" w:rsidRDefault="005543AB" w:rsidP="005543AB">
            <w:r>
              <w:t>8</w:t>
            </w:r>
          </w:p>
        </w:tc>
        <w:tc>
          <w:tcPr>
            <w:tcW w:w="1843" w:type="dxa"/>
          </w:tcPr>
          <w:p w:rsidR="005543AB" w:rsidRPr="005543AB" w:rsidRDefault="005543AB" w:rsidP="005543AB">
            <w:r w:rsidRPr="009D7B78">
              <w:t xml:space="preserve">Frédéric </w:t>
            </w:r>
          </w:p>
        </w:tc>
        <w:tc>
          <w:tcPr>
            <w:tcW w:w="1985" w:type="dxa"/>
          </w:tcPr>
          <w:p w:rsidR="005543AB" w:rsidRDefault="005543AB" w:rsidP="005543AB">
            <w:pPr>
              <w:rPr>
                <w:strike/>
              </w:rPr>
            </w:pPr>
            <w:proofErr w:type="spellStart"/>
            <w:r w:rsidRPr="009D7B78">
              <w:t>Audras</w:t>
            </w:r>
            <w:proofErr w:type="spellEnd"/>
          </w:p>
        </w:tc>
        <w:tc>
          <w:tcPr>
            <w:tcW w:w="2126" w:type="dxa"/>
          </w:tcPr>
          <w:p w:rsidR="005543AB" w:rsidRPr="005543AB" w:rsidRDefault="005543AB" w:rsidP="005543AB">
            <w:r>
              <w:t>Panellist</w:t>
            </w:r>
          </w:p>
        </w:tc>
        <w:tc>
          <w:tcPr>
            <w:tcW w:w="2500" w:type="dxa"/>
          </w:tcPr>
          <w:p w:rsidR="005543AB" w:rsidRPr="009D7B78" w:rsidRDefault="005543AB" w:rsidP="005543AB">
            <w:r w:rsidRPr="009D7B78">
              <w:t>Head of Urban Development Department</w:t>
            </w:r>
            <w:r>
              <w:t>,</w:t>
            </w:r>
          </w:p>
          <w:p w:rsidR="005543AB" w:rsidRPr="005543AB" w:rsidRDefault="005543AB" w:rsidP="005543AB">
            <w:r>
              <w:t>French Development Agency (AFD)</w:t>
            </w:r>
          </w:p>
        </w:tc>
      </w:tr>
      <w:tr w:rsidR="005543AB" w:rsidRPr="000B1345" w:rsidTr="005543AB">
        <w:tc>
          <w:tcPr>
            <w:tcW w:w="562" w:type="dxa"/>
          </w:tcPr>
          <w:p w:rsidR="005543AB" w:rsidRPr="00797EC4" w:rsidRDefault="005543AB" w:rsidP="005543AB">
            <w:r>
              <w:t>9</w:t>
            </w:r>
          </w:p>
        </w:tc>
        <w:tc>
          <w:tcPr>
            <w:tcW w:w="1843" w:type="dxa"/>
          </w:tcPr>
          <w:p w:rsidR="005543AB" w:rsidRPr="000B1345" w:rsidRDefault="000B1345" w:rsidP="000B1345">
            <w:r w:rsidRPr="000B1345">
              <w:t xml:space="preserve">Lena </w:t>
            </w:r>
          </w:p>
        </w:tc>
        <w:tc>
          <w:tcPr>
            <w:tcW w:w="1985" w:type="dxa"/>
          </w:tcPr>
          <w:p w:rsidR="005543AB" w:rsidRPr="000B1345" w:rsidRDefault="000B1345" w:rsidP="005543AB">
            <w:r w:rsidRPr="000B1345">
              <w:t>Weiler</w:t>
            </w:r>
          </w:p>
        </w:tc>
        <w:tc>
          <w:tcPr>
            <w:tcW w:w="2126" w:type="dxa"/>
          </w:tcPr>
          <w:p w:rsidR="005543AB" w:rsidRPr="005543AB" w:rsidRDefault="000B1345" w:rsidP="005543AB">
            <w:pPr>
              <w:rPr>
                <w:strike/>
                <w:lang w:val="fr-FR"/>
              </w:rPr>
            </w:pPr>
            <w:r>
              <w:t>Panellist</w:t>
            </w:r>
          </w:p>
        </w:tc>
        <w:tc>
          <w:tcPr>
            <w:tcW w:w="2500" w:type="dxa"/>
          </w:tcPr>
          <w:p w:rsidR="005543AB" w:rsidRPr="000B1345" w:rsidRDefault="000B1345" w:rsidP="000B1345">
            <w:pPr>
              <w:rPr>
                <w:strike/>
              </w:rPr>
            </w:pPr>
            <w:r w:rsidRPr="000B1345">
              <w:t>Senior Expert on urban development</w:t>
            </w:r>
            <w:r>
              <w:t xml:space="preserve"> and </w:t>
            </w:r>
            <w:r w:rsidRPr="000B1345">
              <w:t>and Head of the International Building Exhibition project</w:t>
            </w:r>
            <w:r>
              <w:t xml:space="preserve">, German </w:t>
            </w:r>
            <w:bookmarkStart w:id="0" w:name="_GoBack"/>
            <w:bookmarkEnd w:id="0"/>
            <w:r>
              <w:t>Cooperation Agency</w:t>
            </w:r>
            <w:r w:rsidRPr="000B1345">
              <w:t xml:space="preserve"> </w:t>
            </w:r>
            <w:r>
              <w:t>(GIZ)</w:t>
            </w:r>
          </w:p>
        </w:tc>
      </w:tr>
      <w:tr w:rsidR="005543AB" w:rsidTr="005543AB">
        <w:tc>
          <w:tcPr>
            <w:tcW w:w="562" w:type="dxa"/>
          </w:tcPr>
          <w:p w:rsidR="005543AB" w:rsidRPr="00797EC4" w:rsidRDefault="005543AB" w:rsidP="005543AB">
            <w:r>
              <w:t>10</w:t>
            </w:r>
          </w:p>
        </w:tc>
        <w:tc>
          <w:tcPr>
            <w:tcW w:w="1843" w:type="dxa"/>
          </w:tcPr>
          <w:p w:rsidR="005543AB" w:rsidRPr="005543AB" w:rsidRDefault="005543AB" w:rsidP="005543AB">
            <w:pPr>
              <w:rPr>
                <w:lang w:val="fr-FR"/>
              </w:rPr>
            </w:pPr>
            <w:r w:rsidRPr="005543AB">
              <w:rPr>
                <w:lang w:val="fr-FR"/>
              </w:rPr>
              <w:t xml:space="preserve">Davor </w:t>
            </w:r>
          </w:p>
          <w:p w:rsidR="005543AB" w:rsidRPr="005543AB" w:rsidRDefault="005543AB" w:rsidP="005543AB"/>
        </w:tc>
        <w:tc>
          <w:tcPr>
            <w:tcW w:w="1985" w:type="dxa"/>
          </w:tcPr>
          <w:p w:rsidR="005543AB" w:rsidRPr="005543AB" w:rsidRDefault="005543AB" w:rsidP="005543AB">
            <w:pPr>
              <w:rPr>
                <w:lang w:val="fr-FR"/>
              </w:rPr>
            </w:pPr>
            <w:r w:rsidRPr="005543AB">
              <w:rPr>
                <w:lang w:val="fr-FR"/>
              </w:rPr>
              <w:t xml:space="preserve">Meersman </w:t>
            </w:r>
          </w:p>
          <w:p w:rsidR="005543AB" w:rsidRDefault="005543AB" w:rsidP="005543AB">
            <w:pPr>
              <w:rPr>
                <w:strike/>
              </w:rPr>
            </w:pPr>
          </w:p>
        </w:tc>
        <w:tc>
          <w:tcPr>
            <w:tcW w:w="2126" w:type="dxa"/>
          </w:tcPr>
          <w:p w:rsidR="005543AB" w:rsidRDefault="005543AB" w:rsidP="005543AB">
            <w:pPr>
              <w:rPr>
                <w:strike/>
              </w:rPr>
            </w:pPr>
            <w:r>
              <w:t>Panellist</w:t>
            </w:r>
          </w:p>
        </w:tc>
        <w:tc>
          <w:tcPr>
            <w:tcW w:w="2500" w:type="dxa"/>
          </w:tcPr>
          <w:p w:rsidR="005543AB" w:rsidRDefault="00076CFC" w:rsidP="005543AB">
            <w:pPr>
              <w:rPr>
                <w:strike/>
              </w:rPr>
            </w:pPr>
            <w:r>
              <w:t xml:space="preserve">CEO of </w:t>
            </w:r>
            <w:r w:rsidR="005543AB" w:rsidRPr="00797EC4">
              <w:t>O</w:t>
            </w:r>
            <w:r w:rsidR="005543AB">
              <w:t>pen and Agile Smart Cities (O</w:t>
            </w:r>
            <w:r w:rsidR="005543AB" w:rsidRPr="00797EC4">
              <w:t>ASC</w:t>
            </w:r>
            <w:r w:rsidR="005543AB">
              <w:t>)</w:t>
            </w:r>
          </w:p>
        </w:tc>
      </w:tr>
      <w:tr w:rsidR="005543AB" w:rsidTr="005543AB">
        <w:tc>
          <w:tcPr>
            <w:tcW w:w="562" w:type="dxa"/>
          </w:tcPr>
          <w:p w:rsidR="005543AB" w:rsidRDefault="005543AB" w:rsidP="005543AB">
            <w:r>
              <w:t>11</w:t>
            </w:r>
          </w:p>
        </w:tc>
        <w:tc>
          <w:tcPr>
            <w:tcW w:w="1843" w:type="dxa"/>
          </w:tcPr>
          <w:p w:rsidR="005543AB" w:rsidRPr="005543AB" w:rsidRDefault="00076CFC" w:rsidP="00076CFC">
            <w:proofErr w:type="spellStart"/>
            <w:r w:rsidRPr="00076CFC">
              <w:t>Takehiko</w:t>
            </w:r>
            <w:proofErr w:type="spellEnd"/>
          </w:p>
        </w:tc>
        <w:tc>
          <w:tcPr>
            <w:tcW w:w="1985" w:type="dxa"/>
          </w:tcPr>
          <w:p w:rsidR="005543AB" w:rsidRDefault="00076CFC" w:rsidP="005543AB">
            <w:pPr>
              <w:rPr>
                <w:strike/>
              </w:rPr>
            </w:pPr>
            <w:r w:rsidRPr="00076CFC">
              <w:t>Nagumo</w:t>
            </w:r>
          </w:p>
        </w:tc>
        <w:tc>
          <w:tcPr>
            <w:tcW w:w="2126" w:type="dxa"/>
          </w:tcPr>
          <w:p w:rsidR="005543AB" w:rsidRPr="00261298" w:rsidRDefault="00076CFC" w:rsidP="005543AB">
            <w:r w:rsidRPr="00261298">
              <w:t>Panellist</w:t>
            </w:r>
          </w:p>
        </w:tc>
        <w:tc>
          <w:tcPr>
            <w:tcW w:w="2500" w:type="dxa"/>
          </w:tcPr>
          <w:p w:rsidR="005543AB" w:rsidRDefault="00076CFC" w:rsidP="005543AB">
            <w:pPr>
              <w:rPr>
                <w:strike/>
              </w:rPr>
            </w:pPr>
            <w:r w:rsidRPr="00076CFC">
              <w:t xml:space="preserve">Co-Founder &amp; Director </w:t>
            </w:r>
            <w:r>
              <w:t xml:space="preserve">of </w:t>
            </w:r>
            <w:r w:rsidRPr="00076CFC">
              <w:t>Smart City Institute Japan</w:t>
            </w:r>
          </w:p>
        </w:tc>
      </w:tr>
    </w:tbl>
    <w:p w:rsidR="00261298" w:rsidRPr="00797EC4" w:rsidRDefault="00261298" w:rsidP="00F20B72"/>
    <w:sectPr w:rsidR="00261298" w:rsidRPr="00797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5369C"/>
    <w:multiLevelType w:val="multilevel"/>
    <w:tmpl w:val="72FCA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45"/>
    <w:rsid w:val="0001621D"/>
    <w:rsid w:val="00024039"/>
    <w:rsid w:val="00076CFC"/>
    <w:rsid w:val="000B1345"/>
    <w:rsid w:val="000B3E9E"/>
    <w:rsid w:val="00261298"/>
    <w:rsid w:val="003C3903"/>
    <w:rsid w:val="005543AB"/>
    <w:rsid w:val="005B5A2C"/>
    <w:rsid w:val="00797EC4"/>
    <w:rsid w:val="00811AAA"/>
    <w:rsid w:val="00973545"/>
    <w:rsid w:val="009B01BB"/>
    <w:rsid w:val="00C33FB3"/>
    <w:rsid w:val="00D76AC2"/>
    <w:rsid w:val="00F20B7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7BE4"/>
  <w15:chartTrackingRefBased/>
  <w15:docId w15:val="{2CCE194C-25CF-4E82-8458-5C5C89A1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7D0A-B877-4840-93FE-55D68AD5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Jimenez Tejero</dc:creator>
  <cp:keywords/>
  <dc:description/>
  <cp:lastModifiedBy>Victoria Jimenez Tejero</cp:lastModifiedBy>
  <cp:revision>6</cp:revision>
  <dcterms:created xsi:type="dcterms:W3CDTF">2020-01-31T12:24:00Z</dcterms:created>
  <dcterms:modified xsi:type="dcterms:W3CDTF">2020-02-05T11:50:00Z</dcterms:modified>
</cp:coreProperties>
</file>